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PE23.000385 vom 28. Januar 2025</w:t>
      </w:r>
    </w:p>
    <w:p>
      <w:r>
        <w:t>VD Tribunal cantonal, 2025-01-28, FR</w:t>
      </w:r>
    </w:p>
    <w:p>
      <w:r>
        <w:rPr>
          <w:b/>
        </w:rPr>
        <w:t xml:space="preserve">Quelle: </w:t>
      </w:r>
      <w:r>
        <w:t>https://mcp.opencaselaw.ch/entscheid/vd_gerichte_PE23.000385</w:t>
      </w:r>
    </w:p>
    <w:p>
      <w:r>
        <w:t>FR: VD_GERICHTE PE23.000385 du 28 janvier 2025</w:t>
      </w:r>
    </w:p>
    <w:p>
      <w:r>
        <w:t>IT: VD_GERICHTE PE23.000385 del 28 gennaio 2025</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Lorsque le recours porte uniquement sur les conséquences économiques accessoires d'une décision et que le montant litigieux ne dépasse pas 5'000 fr., un membre de la Chambre de céans statue comme juge unique (art. 395 let. b CPP et 13 al. 2 LVCPP).</w:t>
      </w:r>
    </w:p>
    <w:p>
      <w:r>
        <w:rPr>
          <w:b/>
        </w:rPr>
        <w:t>E. 1.2</w:t>
      </w:r>
    </w:p>
    <w:p>
      <w:r>
        <w:t>En l’espèce, le recours, satisfaisant aux conditions de forme posées par l’art. 385 al. 1 CPP, a été interjeté en temps utile devant l’autorité compétente par la prévenue qui a la qualité pour recourir contre la décision refusant de lui allouer une indemnité. Il est donc recevable. Dès lors que le recours porte uniquement sur les conséquences économiques accessoires d’une décision de classement, soit le refus d’allouer à la recourante une indemnité au sens de l’art. 429 CPP, et que le montant litigieux est de 1’574 fr., il relève de la compétence d’un membre de la Chambre des recours pénale statuant comme juge unique.</w:t>
      </w:r>
    </w:p>
    <w:p>
      <w:r>
        <w:rPr>
          <w:b/>
        </w:rPr>
        <w:t>E. 2.1</w:t>
      </w:r>
    </w:p>
    <w:p>
      <w:r>
        <w:t>La recourante réclame une indemnité d’un montant de 1'574 francs. Elle soutient en substance que l’instruction n’a pas permis d’établir correctement les faits, qu’il ressort toutefois du dossier que les accusations portées à son encontre – par une curatrice qui éprouvait une véritable animosité à son égard – étaient infondées et que son intention</w:t>
      </w:r>
    </w:p>
    <w:p>
      <w:r>
        <w:t>- 7 - était uniquement d’épauler et de venir en aide à sa mère, alors que le sort s’acharnait contre elle et que son état de santé se détériorait. Elle fait en particulier valoir que tous les paiements et prélèvements effectués l’ont été sur instruction et dans l’intérêt de sa mère, qu’elle n’a ainsi jamais eu l’intention de commettre une quelconque infraction et qu’elle n’avait par ailleurs pas conscience de l’implication de tous ces agissements. Elle insiste sur le fait qu’il n’est nullement établi qu’elle avait commis les infractions qui lui étaient reprochées et qu’elle n’aurait en aucun cas pu être reconnue coupable de celles-ci, à défaut de la réalisation des éléments constitutifs subjectifs à tout le moins.</w:t>
      </w:r>
    </w:p>
    <w:p>
      <w:r>
        <w:rPr>
          <w:b/>
        </w:rPr>
        <w:t>E. 2.2.1</w:t>
      </w:r>
    </w:p>
    <w:p>
      <w:r>
        <w:t>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6B_67/2019 du 16 décembre 2020 consid. 9.2 ; TF 6B_1146/2016 du 14 juillet 2017 consid. 1.3). La question de l'indemnisation (art. 429 à 434 CPP) doit être traitée après celle des frais (ATF 145 IV 268 consid. 1.2 ; TF 6B_113/2024 du 14 juin 2024 consid. 1.2.2 ; TF 7B_46/2022 du 31 août 2023 consid. 2.1.2).</w:t>
      </w:r>
    </w:p>
    <w:p>
      <w:r>
        <w:rPr>
          <w:b/>
        </w:rPr>
        <w:t>E. 2.2.2</w:t>
      </w:r>
    </w:p>
    <w:p>
      <w:r>
        <w:t>La condamnation d'un prévenu acquitté à supporter tout ou partie des frais doit respecter la présomption d'innocence, consacrée par les art. 32 al. 1 Cst. (Constitution fédérale de la Confédération suisse du 18 avril 1999 ; RS 101) et 6 par. 2 CEDH (Convention de sauvegarde des</w:t>
      </w:r>
    </w:p>
    <w:p>
      <w:r>
        <w:t>- 8 -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 TF 6B_886/2018 du 31 octobre 2018 consid. 2.1.1).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précité ; TF 7B_46/2022 du 31 août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En outre, le juge doit fonder sa décision sur des faits incontestés ou déjà clairement établis (ATF 112 Ia 371 consid. 2a ; TF 6B_591/2022 du</w:t>
      </w:r>
    </w:p>
    <w:p>
      <w:r>
        <w:rPr>
          <w:b/>
        </w:rPr>
        <w:t>E. 2.3</w:t>
      </w:r>
    </w:p>
    <w:p>
      <w:r>
        <w:t>En l’espèce, A.H.________ a été mise au bénéfice d’une ordonnance de classement. Il ne s’agit donc plus d’examiner si les accusations portées à son encontre auraient pu conduire à une condamnation pénale mais uniquement de déterminer si la recourante a violé une norme de comportement de l’ordre juridique suisse qui était de nature à provoquer l’ouverture d’une enquête pénale à son encontre. À cet égard, il n’est pas contesté que B.H.________ était au bénéfice d’une curatelle de portée générale depuis le 20 décembre 2018 (P. 12). Il résulte en outre de l’audition de la recourante du 12 juin 2023 qu’elle avait pour sa part connaissance de cette mesure et était consciente de ses conséquences, soit en particulier que toutes les décisions concernent sa mère devaient être prises par la curatrice (PV aud. 2, R. 5, pp. 4-5). Il est par ailleurs établi que B.H.________ est entrée à l’EMS « [...] » le 24 janvier 2022 (P. 10/1) et a ensuite intégré la « [...] » le 21 juin 2022 (P. 10/3). Il ressort du dossier que la recourante a participé aux discussions en lien avec l’admission de sa mère dans ces deux établissements (P. 10). Du reste, le contrat d’hébergement passé avec la « [...] » a même été cosigné par la recourante en qualité de représentante (P. 10/3). Celle-ci n’a ainsi pas mentionné l’existence d’une curatelle de représentation (P. 10). Les factures qui ont par la suite été adressées à la recourante, respectivement au précédent domicile de B.H.________ où la recourante vivait, n’ont en outre pas été réglées, sous réserve de celle du mois de juin 2022 (P. 4/4, 6/2, 10/1 et 10/3). La recourante ne les a pas non plus transmises à la curatrice, qu’elle n’a d’ailleurs même pas informée de l’entrée de sa mère en EMS. Il en a résulté des factures ouvertes de 29'439 fr. 40 (P. 6/2) et de 17'605 fr. 25 (P. 4/4). En l’absence d’information sur le placement de sa protégée en EMS, la curatrice a par ailleurs continué à s’acquitter des frais courants de la maison de B.H.________ et à verser sur son compte un montant mensuel pour son entretien, lequel a régulièrement été prélevé (PV aud. 1, R. 7 ; P. 4/3).</w:t>
      </w:r>
    </w:p>
    <w:p>
      <w:r>
        <w:t>- 10 - Il découle de ce qui précède que la recourante s’est immiscée dans la gestion des affaires de sa mère alors qu’elle savait ne pas être autorisée à le faire et qu’elle ne l’a pas fait conformément à ses intérêts puisqu’il en est résulté des dettes d’hébergement significatives, dont l’une a même fait l’objet d’un commandement de payer (P. 6/2) et qu’aucune mesure n’a par ailleurs pu être prises pour supprimer, ou à tout le moins réduire, les frais liés à son précédent domicile. Ce faisant, la recourante a contrevenu à l’art. 419 CO qui prévoit que celui qui, sans mandat, gère l’affaire d’autrui, est tenu de la gérer conformément aux intérêts et aux intentions présumables du maître. Elle a du même coup fait naître la suspicion que les montants versés sur le compte de B.H.________ par sa curatrice n’avaient pas été prélevés ni utilisés dans le but de subvenir à son entretien et pouvaient avoir été l’objet d’une infraction contre le patrimoine. Ainsi, la plainte déposée et l’ouverture d’instruction qui s’en est suivie étaient parfaitement justifiées. Il s’ensuit que, la recourante a, de manière illicite et fautive, provoqué l’ouverture de la procédure pénale, si bien que les frais pouvaient être mis à sa charge et que l’indemnité de l’art. 429 CPP requise devait lui être refusée. Le fait que la procureure ait décidé d’accorder exceptionnellement une remise totale des frais judiciaires à la recourante compte tenu de sa situation financière – faisant ainsi application de l’article 425 CPP sans expressément le citer dans l’ordonnance – ne saurait faire revivre le droit à une indemnisation de la recourante. 3. En définitive, le recours, manifestement mal fondé, doit être rejeté sans échange d’écritures (art. 390 al. 2 CPP) et l’ordonnance attaquée confirmée. Les frais de la procédure de recours, constitués du seul émolument d’arrêt par 900 fr. (art. 20 al. 1 TFIP [Tarif des frais de procédure et indemnités en matière pénale du 28 septembre 2010 ; BLV 312.03.1]), seront mis à la charge de la recourante, qui succombe (art. 428 al. 1 CPP). Aucune indemnité ne lui sera par ailleurs allouée pour la procédure de recours (art. 430 al. 2 CPP).</w:t>
      </w:r>
    </w:p>
    <w:p>
      <w:r>
        <w:t>- 11 - Par ces motifs, le juge unique prononce : I. Le recours est rejeté. II. L’ordonnance du 22 août 2024 est confirmée au chiffre II de son dispositif. L’ordonnance est maintenue pour le surplus. III. Les frais d’arrêt, par 900 fr. (neuf cents francs), sont mis à la charge de A.H.________. IV. L’arrêt est exécutoire. Le juge unique : Le greffier : Du Le présent arrêt, dont la rédaction a été approuvée à huis clos, est notifié, par l'envoi d'une copie complète, à : - Me Ludovic Tirelli, avocat (pour A.H.________), - Ministère public central, et communiqué à : - Mme la Procureure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mai 2023 consid. 3.1.2 ; TF 6B_248/2022 du 26 octobre 2022 consid. 1.1).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