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PE22.024203 vom 19. Januar 2023</w:t>
      </w:r>
    </w:p>
    <w:p>
      <w:r>
        <w:t>VD Tribunal cantonal, 2023-01-19, FR</w:t>
      </w:r>
    </w:p>
    <w:p>
      <w:r>
        <w:rPr>
          <w:b/>
        </w:rPr>
        <w:t xml:space="preserve">Quelle: </w:t>
      </w:r>
      <w:r>
        <w:t>https://mcp.opencaselaw.ch/entscheid/vd_gerichte_PE22.024203</w:t>
      </w:r>
    </w:p>
    <w:p>
      <w:r>
        <w:t>FR: VD_GERICHTE PE22.024203 du 19 janvier 2023</w:t>
      </w:r>
    </w:p>
    <w:p>
      <w:r>
        <w:t>IT: VD_GERICHTE PE22.024203 del 19 gennaio 2023</w:t>
      </w:r>
    </w:p>
    <w:p>
      <w:pPr>
        <w:pStyle w:val="Heading2"/>
      </w:pPr>
      <w:r>
        <w:t>Volltext</w:t>
      </w:r>
    </w:p>
    <w:p>
      <w:r>
        <w:t>TRIBUNAL CANTONAL 44 PE22.024203-KBE CHAMBRE DE S RECO URS PEN ALE __________________________________________ Arrêt du 19 janvier 2023 __________________ Composition : Mme BYRDE, présidente MM. Krieger et Perrot, juges Greffière : Mme Maire Kalubi ***** Art. 89 al. 1, 385 CPP Statuant sur le recours interjeté le 13 janvier 2023 par C.L.________ contre l’ordonnance de non-entrée en matière rendue le 5 janvier 2023 par le Ministère public de l’arrondissement de l’Est vaudois dans la cause n° PE22.024203-KBE, la Chambre des recours pénale considère : En fait : A. Le 10 novembre 2022, C.L.________ a déposé plainte pénale contre son frère B.L.________ pour voies de fait et injure. 351</w:t>
      </w:r>
    </w:p>
    <w:p>
      <w:r>
        <w:t>- 2 - Elle reprochait en substance à son frère, alors qu’elle conduisait la voiture de celui-ci, de l’avoir traitée de « sale boufonne de merde », ainsi que de lui avoir, alors qu’elle s’était arrêtée pour téléphoner à quelqu’un, arraché le téléphone des mains et de lui avoir donné un coup sur l’une des mains. B. Par ordonnance du 5 janvier 2023, le Ministère public de l’arrondissement de l’Est vaudois a refusé d’entrer en matière sur la plainte de C.L.________ (I) et a laissé les frais à la charge de l’Etat (II). Le procureur a relevé qu’entendu par la police, B.L.________ avait formellement contesté les faits qui lui étaient reprochés et a considéré qu’aucune mesure d’instruction ne permettait de trancher entre les versions contradictoires des parties. C. Par lettre du 13 janvier 2023 adressée à la Chambre de céans, C.L.________ a indiqué recourir contre cette ordonnance. Elle a demandé « un délai jusqu’à la fin du mois de janvier 2023 pour le recours », précisant devoir voir son psychiatre et son avocat la semaine suivante.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- 3 - 2009 ; BLV 312.01] ; art. 80 LOJV [Loi vaudoise d’organisation judiciaire du 12 décembre 1979 ; BLV 173.01]). 1.2 Aux termes de l’art. 89 al. 1 CPP, les délais fixés par la loi ne peuvent être prolongés. 1.3 1.3.1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[ci-après : Basler Kommentar], n. 1a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w:t>
      </w:r>
    </w:p>
    <w:p>
      <w:r>
        <w:t>- 4 - pièces qu’il avait déposées devant l’instance précédente (TF 6B_191/2021 du 11 août 2021 consid. 2 ; TF 6B_510/2020 du 15 septembre 2020 consid. 2.2 ; TF 1B_472/2019 du 29 octobre 2019 consid. 3.1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1.3.2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précité ; TF 6B_510/2018 du 31 juillet 2018 consid. 1 et les références citées). 1.3.3 Dans son acte, qui ne contient aucune motivation, C.L.________ se borne à annoncer son intention de recourir et à demander un délai pour consulter un psychiatre et un avocat. Ce faisant, elle ne développe aucun argument – factuel ou juridique – sur lequel elle pourrait prétendre se fonder pour faire modifier l’ordonnance entreprise en sa faveur, de sorte que le recours ne satisfait pas aux exigences de motivation de l'art. 385 al. 1 CPP.</w:t>
      </w:r>
    </w:p>
    <w:p>
      <w:r>
        <w:t>- 5 - Un tel défaut de motivation ne saurait justifier qu'un délai supplémentaire soit fixé à la recourante pour compléter son acte en application de l'art. 385 al. 2 CP, étant au demeurant rappelé que le délai légal de dix jours pour recourir n'est pas prolongeable (art. 89 al. 1 CPP). 2. Il résulte de ce qui précède que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exceptionnellement laissés à la charge de l’Etat. Il est enfin précisé qu’à ce stade, B.L.________ ne participe pas à la procédure et que c’est à tort que le Ministère public lui a communiqué une copie de l’ordonnance attaquée. Compte tenu de cette communication préalable, une copie du présent arrêt sera tout de même adressée à ce dernier. Par ces motifs, la Chambre des recours pénale prononce : I. Le recours est irrecevable. II. Les frais d’arrêt, par 550 fr. (cinq cent cinquante francs), sont laissés à la charge de l’Etat. III. L’arrêt est exécutoire.</w:t>
      </w:r>
    </w:p>
    <w:p>
      <w:r>
        <w:t>- 6 - La présidente : La greffière : Du Le présent arrêt, dont la rédaction a été approuvée à huis clos, est notifié, par l'envoi d'une copie complète, à : - Mme C.L.________, - Ministère public central, et communiqué à : - M. le Procureur de l’arrondissement de l’Est vaudois, - M. B.L.________,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