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PE22.024199 vom 5. Februar 2024</w:t>
      </w:r>
    </w:p>
    <w:p>
      <w:r>
        <w:t>VD Tribunal cantonal, 2024-02-05, FR</w:t>
      </w:r>
    </w:p>
    <w:p>
      <w:r>
        <w:rPr>
          <w:b/>
        </w:rPr>
        <w:t xml:space="preserve">Quelle: </w:t>
      </w:r>
      <w:r>
        <w:t>https://mcp.opencaselaw.ch/entscheid/vd_gerichte_PE22.024199</w:t>
      </w:r>
    </w:p>
    <w:p>
      <w:r>
        <w:t>FR: VD_GERICHTE PE22.024199 du 5 février 2024</w:t>
      </w:r>
    </w:p>
    <w:p>
      <w:r>
        <w:t>IT: VD_GERICHTE PE22.024199 del 5 febbraio 2024</w:t>
      </w:r>
    </w:p>
    <w:p>
      <w:pPr>
        <w:pStyle w:val="Heading2"/>
      </w:pPr>
      <w:r>
        <w:t>Erwägungen</w:t>
      </w:r>
    </w:p>
    <w:p>
      <w:r>
        <w:rPr>
          <w:b/>
        </w:rPr>
        <w:t>E. 15</w:t>
      </w:r>
    </w:p>
    <w:p>
      <w:r>
        <w:t>décembre 2023 était exécutoire (II) et a rendu sa décision sans frais (III).</w:t>
      </w:r>
    </w:p>
    <w:p>
      <w:r>
        <w:t>- 3 - C. Par acte du 24 janvier 2024, Z.________ a recouru contre ce prononcé, concluant à son annulation. Il n’a pas été ordonné d’échange d’écritures.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2e éd., Bâle 2019, n. 5 ad art. 356 CPP ; CREP 28 décembre 2023/1062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une partie qui a qualité pour recourir (art. 382 al. 1 CPP) et dans les formes prescrites (art. 385 al. 1 CPP), le recours est recevable. 2. Le recourant explique la tardiveté de son opposition à l’ordonnance pénale par le fait qu’il traversait alors une période professionnellement surchargée et qu’il ne rentrait pas tous les soirs chez</w:t>
      </w:r>
    </w:p>
    <w:p>
      <w:r>
        <w:t>- 4 - lui. De plus, il fait valoir qu’il ne s’attendait pas à recevoir une décision juste avant les fêtes pour une affaire datant de 2022. 2.1 2.1.1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2.1.2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w:t>
      </w:r>
    </w:p>
    <w:p>
      <w:r>
        <w:t>- 5 - 87 al. 1 CPP). Le prononcé est réputé notifié lorsqu’il a été remis au destinataire, à l’un de ses employés ou à toute personne de plus de seize ans vivant dans le même ménage (art. 85 al. 3 CPP).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6B_880/2022 précité et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 y compris en cas de déménagement</w:t>
      </w:r>
    </w:p>
    <w:p>
      <w:r>
        <w:t>- 6 - (cf. TF 4A_280/2021 du 25 mars 2022). La prolongation du délai de garde postal n’est pas une mesure suffisante (ATF 141 II 429 consid. 3.1).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 procédure pendante (TF 6B_1057/2022 du 30 mars 2023 consid. 1.1 ; TF 2C_523/2019 du 12 novembre 2019 consid. 3.4 et les arrêts cités). 2.2 En l’espèce, selon le suivi des envois postaux (cf. P. 15), le recourant a été avisé le 18 décembre 2023 de l’arrivée du pli recommandé contenant l’ordonnance pénale du 15 décembre 2023. Il n’a pas retiré ce pli dans le délai de garde de sept jours, arrivé à échéance le 27 décembre 2023, ce qu’il ne conteste pas. Il s’ensuit que le délai pour former opposition expirait le lundi 8 janvier 2024, compte tenu des règles sur la computation des délais (cf. art. 90 al. 2 CPP). Partant, formée le 9 janvier 2024, l’opposition était manifestement tardive, ce qui n’est pas non plus contesté. Le fait que le recourant était, à cette période, surchargé sur le plan professionnel ne suffit pas à déroger à la règle du respect du délai de garde. Par ailleurs, le recourant a été entendu par la police le 16 décembre 2022 (PV d’audition n° 2). A cette occasion, il a été informé, par la remise d’un formulaire, de ses droits et obligations en tant que prévenu, de sorte que, même s’il n’a reçu aucune communication judiciaire entre cette audition et l’envoi de l’ordonnance pénale, il devait s’attendre à ce que l’autorité pénale lui adresse des avis ou des prononcés en lien avec cette procédure. On ajoutera qu’une ordonnance pénale envoyée dans l’année qui suit le dernier acte d’instruction ne viole pas le principe de la bonne foi et demeure admissible. Il s’ensuit que le prononcé entrepris doit être confirmé. 3. Au vu de ce qui précède, le recours, manifestement mal fondé, doit être rejeté, sans échange d’écritures (art. 390 al. 2 CPP).</w:t>
      </w:r>
    </w:p>
    <w:p>
      <w:r>
        <w:t>- 7 -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16 janvier 2024 est confirmé. III. Les frais d’arrêt, par 660 fr. (six cent soixante francs), sont mis à la charge de Z.________. IV. L’arrêt est exécutoire. Le président : Le greffier : Du Le présent arrêt, dont la rédaction a été approuvée à huis clos, est notifié, par l'envoi d'une copie complète, à : - M. Z.________, - Mme T.________, - Ministère public central, et communiqué à : - Mme la Présidente du Tribunal de police de l’arrondissement de l’Est vaudois, - Mme la Procureure de l’arrondissement de l’Est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