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PE22.024117 vom 19. Mai 2025</w:t>
      </w:r>
    </w:p>
    <w:p>
      <w:r>
        <w:t>VD Tribunal cantonal, 2025-05-19, FR</w:t>
      </w:r>
    </w:p>
    <w:p>
      <w:r>
        <w:rPr>
          <w:b/>
        </w:rPr>
        <w:t xml:space="preserve">Quelle: </w:t>
      </w:r>
      <w:r>
        <w:t>https://mcp.opencaselaw.ch/entscheid/vd_gerichte_PE22.024117</w:t>
      </w:r>
    </w:p>
    <w:p>
      <w:r>
        <w:t>FR: VD_GERICHTE PE22.024117 du 19 mai 2025</w:t>
      </w:r>
    </w:p>
    <w:p>
      <w:r>
        <w:t>IT: VD_GERICHTE PE22.024117 del 19 maggio 2025</w:t>
      </w:r>
    </w:p>
    <w:p>
      <w:pPr>
        <w:pStyle w:val="Heading2"/>
      </w:pPr>
      <w:r>
        <w:t>Erwägungen</w:t>
      </w:r>
    </w:p>
    <w:p>
      <w:r>
        <w:rPr>
          <w:b/>
        </w:rPr>
        <w:t>E. 1.1</w:t>
      </w:r>
    </w:p>
    <w:p>
      <w:r>
        <w:t>Aux termes de l'art. 233 CPP, la direction de la procédure de la juridiction d'appel – soit le président du tribunal, s’agissant d’une procédure devant un tribunal collégial (art. 61 let. c CPP) – statue dans les cinq jours sur les demandes de libération. 13J040</w:t>
      </w:r>
    </w:p>
    <w:p>
      <w:r>
        <w:t>- 4 -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3e éd., Bâle 2025, n. 4 ad art. 233 CPP).</w:t>
      </w:r>
    </w:p>
    <w:p>
      <w:r>
        <w:rPr>
          <w:b/>
        </w:rPr>
        <w:t>E. 1.2</w:t>
      </w:r>
    </w:p>
    <w:p>
      <w:r>
        <w:t>En l’espèce, déposée à la suite d’une annonce puis d’une déclaration d’appel, la demande de libération présentée par E.________ est recevable.</w:t>
      </w:r>
    </w:p>
    <w:p>
      <w:r>
        <w:rPr>
          <w:b/>
        </w:rPr>
        <w:t>E. 2.1</w:t>
      </w:r>
    </w:p>
    <w:p>
      <w:r>
        <w:t>Le requérant demande sa mise en liberté, en faisant valoir qu’il était resté en liberté depuis le début de la procédure sans chercher à fuir et qu’il ne pourrait aisément quitter le pays pour retourner par hypothèse au Nigéria, s’il devait se voir imposer des mesures de substitution telles que le dépôt de tous ses documents d’identité.</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Les conditions prévues par l’art. 221 al. 1 CPP sont alternatives et non cumulatives (TF 7B_618/2024 du 25 juin 2024 consid. 3.3 ; TF 7B_386/2024 du 30 avril 2024 consid. 2.3). 13J040</w:t>
      </w:r>
    </w:p>
    <w:p>
      <w:r>
        <w:t>- 5 -</w:t>
      </w:r>
    </w:p>
    <w:p>
      <w:r>
        <w:rPr>
          <w:b/>
        </w:rPr>
        <w:t>E. 2.2.2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rPr>
          <w:b/>
        </w:rPr>
        <w:t>E. 2.2.3</w:t>
      </w:r>
    </w:p>
    <w:p>
      <w:r>
        <w:t>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13J040</w:t>
      </w:r>
    </w:p>
    <w:p>
      <w:r>
        <w:t>- 6 - permettent d'empêcher la concrétisation du risque (ATF 142 IV 367 consid. 2.1, SJ 2017 I 233 ; ATF 133 I 270 consid. 2.2 ; Coquoz, in : Jeanneret/Kuhn/Perrier Depeursinge [éd.], op. cit., n. 2 ad art. 237 CPP).</w:t>
      </w:r>
    </w:p>
    <w:p>
      <w:r>
        <w:rPr>
          <w:b/>
        </w:rPr>
        <w:t>E. 2.2.4</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2.3.1</w:t>
      </w:r>
    </w:p>
    <w:p>
      <w:r>
        <w:t>En l’espèce, la condition liée à l’existence de soupçons suffisants de culpabilité est réalisée, puisqu’E.________ a été condamné en première instance pour menaces qualifiées, injure et viol qualifié. Ensuite, E.________ est un ressortissant du Nigéria. Il est au bénéfice d’un permis C et est séparé de D.________, partie plaignante dans la présente procédure. Il ressort du dossier que le requérant a vécu jusqu’à ses 30 ans dans divers pays en Afrique, qu’il est arrivé en Suisse en 2011 et qu’il n’a aucun proche en Suisse, sa sœur vivant en Allemagne et son père au Nigéria. Par ailleurs, s’il était au bénéfice d’un contrat de travail conclu au mois d’avril 2025, il se trouvait en temps d’essai lorsqu’il a été placé en détention pour des motifs de sûreté par ordonnance rendue le 17 mai 2025 par le Tribunal des mesures de contrainte. Par conséquent, les liens d’E.________ avec la Suisse sont très faibles. Il n’aurait dès lors pas grand chose à perdre de partir à l’étranger. En outre, en première instance, E.________ a été condamné notamment à une peine privative de liberté de 6 ans. Quand bien même 13J040</w:t>
      </w:r>
    </w:p>
    <w:p>
      <w:r>
        <w:t>- 7 - cette peine n’est pas définitive, sa condamnation en première instance a rendu plus concrète pour lui la probabilité de devoir purger une longue peine privative de liberté. Eu égard à la lourde peine qui est susceptible de le frapper – et dont il ne peut désormais ignorer la quotité –, il existe toujours un risque concret que le prénommé, une fois libéré, quitte le territoire helvétique ou tombe dans la clandestinité, afin de se soustraire aux débats d'appel et à l'exécution du solde éventuel de sa peine privative de liberté. A cela s’ajoute que l’expulsion d’E.________ du territoire suisse a été ordonnée pour une durée de 15 ans. Le maintien en détention pour des motifs de sûreté du prénommé permet également de garantir l'exécution de l'expulsion pénale prononcée en première instance. Au vu de ce qui précède, il est probable que le prévenu préférera quitter notre pays qu'y demeurer, pour échapper à la sanction et à son expulsion, si celles-ci devaient être confirmées. Le risque de fuite est désormais encore plus concret après la condamnation de l’intéressé en première instance qu’il ne l’était déjà auparavant.</w:t>
      </w:r>
    </w:p>
    <w:p>
      <w:r>
        <w:rPr>
          <w:b/>
        </w:rPr>
        <w:t>E. 2.3.2</w:t>
      </w:r>
    </w:p>
    <w:p>
      <w:r>
        <w:t>En outre, aucune mesure de substitution (art. 237 CPP) n’est susceptible de présenter de garantie suffisante pour pallier le risque de fuite à satisfaction, notamment celle mentionnée par E.________, à savoir le dépôt de tous ses documents d’identité. En effet,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cit.). On ajoutera à toutes fins utiles qu’une interdiction de quitter le territoire suisse ou un autre périmètre déterminé, couplée à une surveillance électronique, ne constituerait pas non plus une mesure suffisante au regard de l’intensité du risque de fuite. Il faut en effet prendre en considération qu’une surveillance électronique ne permet pas de prévenir la fuite mais uniquement de la constater a posteriori. Il n’est en effet pas exclu que le porteur d’un dispositif de 13J040</w:t>
      </w:r>
    </w:p>
    <w:p>
      <w:r>
        <w:t>- 8 - surveillance électronique puisse fuir et, notamment, passer une frontière avant que les forces de l’ordre ne parviennent à l’arrêter, en particulier en cas de résidence proche d’une frontière (ATF 145 IV 503 consid. 3.3 ; TF 1B_549/2020 du 9 novembre 2020 consid. 3.3).</w:t>
      </w:r>
    </w:p>
    <w:p>
      <w:r>
        <w:rPr>
          <w:b/>
        </w:rPr>
        <w:t>E. 2.3.3</w:t>
      </w:r>
    </w:p>
    <w:p>
      <w:r>
        <w:t>Enfin, la proportionnalité entre la durée de la détention qui aura été subie jusqu'au terme de la procédure d'appel et la peine prévisible demeure respectée, dès lors qu’E.________ a notamment été condamné en première instance à une peine privative de liberté de 6 ans et qu'au jour du jugement du 19 mai 2025, il était détenu depuis 6 jours.</w:t>
      </w:r>
    </w:p>
    <w:p>
      <w:r>
        <w:rPr>
          <w:b/>
        </w:rPr>
        <w:t>E. 3</w:t>
      </w:r>
    </w:p>
    <w:p>
      <w:r>
        <w:t>Au vu de ce qui précède, le maintien en détention d’E.________ est justifié et sa demande de mise en liberté doit être rejetée. Vu l’issue de la cause, les frais du présent prononcé, par 630 fr. (art. 20 al. 1 TFIP [tarif des frais de procédure et indemnités en matière pénale du 28 septembre 2010 ; BLV 312.03.1]), seront mis à la charge d’E.________,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