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PE22.023339 vom 3. Oktober 2023</w:t>
      </w:r>
    </w:p>
    <w:p>
      <w:r>
        <w:t>VD Tribunal cantonal, 2023-10-03, FR</w:t>
      </w:r>
    </w:p>
    <w:p>
      <w:r>
        <w:rPr>
          <w:b/>
        </w:rPr>
        <w:t xml:space="preserve">Quelle: </w:t>
      </w:r>
      <w:r>
        <w:t>https://mcp.opencaselaw.ch/entscheid/vd_gerichte_PE22.023339</w:t>
      </w:r>
    </w:p>
    <w:p>
      <w:r>
        <w:t>FR: VD_GERICHTE PE22.023339 du 3 octobre 2023</w:t>
      </w:r>
    </w:p>
    <w:p>
      <w:r>
        <w:t>IT: VD_GERICHTE PE22.023339 del 3 ottobre 2023</w:t>
      </w:r>
    </w:p>
    <w:p>
      <w:pPr>
        <w:pStyle w:val="Heading2"/>
      </w:pPr>
      <w:r>
        <w:t>Erwägungen</w:t>
      </w:r>
    </w:p>
    <w:p>
      <w:r>
        <w:rPr>
          <w:b/>
        </w:rPr>
        <w:t>E. 1</w:t>
      </w:r>
    </w:p>
    <w:p>
      <w:r>
        <w:t>Interjetés en temps utile (art. 396 al. 1 CPP [Code de procédure pénale suisse du 5 octobre 2007 ; RS 312.0]), contre une décision du Ministère public (art. 393 al. 1 let. a CPP), auprès de l'autorité compétente (art. 13 LVCPP [loi vaudoise d’introduction du Code de procédure pénale suisse du 19 mai 2009 ; BLV 312.01] ; art. 80 LOJV [loi vaudoise d'organisation judiciaire du 12 septembre 1979 ; BLV 173.01]), par des parties qui ont qualité pour recourir (art. 382 al. 1 CPP) et dans les formes prescrites (art. 385 al. 1 CPP), les recours sont recevables.</w:t>
      </w:r>
    </w:p>
    <w:p>
      <w:r>
        <w:rPr>
          <w:b/>
        </w:rPr>
        <w:t>E. 1.1</w:t>
      </w:r>
    </w:p>
    <w:p>
      <w:r>
        <w:t>; TF 1B_580/2021 du 10 mars 2022 consid. 2.1). La jonction aura tendance à s’imposer dans le cas où une même victime aurait été l’objet d’infractions commises par plusieurs auteurs agissant sans concertation ou à des situations dans lesquelles des plaideurs s’accusent réciproquement d’infractions commises dans le cadre du même conflit, respectivement dans lesquelles l’administration des preuves commande la jonction (Bouverat, Commentaire romand, Code de procédure pénale suisse, 2e éd., Bâle 2019, nn. 3-4 ad art. 30 CPP). Le tempérament apporté par l’art. 30 CPP au principe de l’unité de la procédure se justifie en présence de motifs objectifs et non par commodité (Bouverat, op. cit., n. 2 ad art. 30 CPP et les réf.).</w:t>
      </w:r>
    </w:p>
    <w:p>
      <w:r>
        <w:rPr>
          <w:b/>
        </w:rPr>
        <w:t>E. 2.1</w:t>
      </w:r>
    </w:p>
    <w:p>
      <w:r>
        <w:t>a) B.X.________ soutient que tous les faits dénoncés concernent les mêmes personnes dans un contexte de conflit conjugal, à savoir que la plainte de son épouse du 9 décembre 2022 dénonce une prétendue altercation physique qui se serait déroulée le même jour, que sa propre plainte du 31 janvier 2023 concerne des faits en lien avec la plainte de son épouse du 9 décembre 2022 et que la plainte de son épouse du 22 mars 2023 dénonce une prétendue agression sexuelle qui se serait produite le 17 septembre 2022. Il considère que le risque de décisions contradictoires</w:t>
      </w:r>
    </w:p>
    <w:p>
      <w:r>
        <w:t>- 5 - est patent, dès lors qu’un Ministère public serait chargé d’instruire et éventuellement de juger l’agression sexuelle dont son épouse aurait été la victime et qu’un autre Ministère public serait chargé de juger la diffamation commise par son épouse à cet égard. Il relève que l’administration des preuves serait dédoublée en cas de disjonction, puisque les mêmes personnes devraient être entendues au moins une fois par chaque Ministère public, et que le raisonnement du Ministère public est tautologique dans la mesure où l’ordonnance de disjonction est fondée sur une procédure de fixation de for intercantonal engagée le même jour, elle-même justifiée par la disjonction. Enfin, il souligne qu’une prescription imminente ne saurait justifier une disjonction, puisque cela est loin d’être le cas. b) C.X.________ soutient que les faits invoqués sont intimement mêlés, soit que les infractions reprochées de part et d’autre s’inscrivent dans un contexte général de conflit conjugal. Elle considère que les principes d’économie de procédure, d’unité de jugement et de célérité s’opposent à une disjonction, car il existe un risque que des mesures d’instruction soient mises en œuvre à double et que des jugements contradictoires soient rendus.</w:t>
      </w:r>
    </w:p>
    <w:p>
      <w:r>
        <w:rPr>
          <w:b/>
        </w:rPr>
        <w:t>E. 2.2.1</w:t>
      </w:r>
    </w:p>
    <w:p>
      <w:r>
        <w:t>Consacrant le principe dit de l'unité de la procédure, l'art. 29 al. 1 CPP prévoit que les infractions sont poursuivies et jugées conjointement lorsqu'un prévenu a commis plusieurs infractions (let. a) ou lorsqu'il y a plusieurs coauteurs ou participation (let. b). Le principe de l'unité de la procédure découle de l'art. 49 CP qui veut que les infractions commises en concours soient réprimées dans un seul et même jugement et qu'un seul juge se prononce sur l'ensemble des faits reprochés au prévenu. Cette solution permet d'éviter la multitude de jugements rendus contre un même prévenu, le prononcé d'une peine complémentaire ou d'une peine d'ensemble, ainsi que les frais liés à toute nouvelle procédure (Moreillon/Parein-Reymond, Petit commentaire du Code de procédure pénale, 2e éd., Bâle 2016, n. 3 ad art. 29 CPP). La règle</w:t>
      </w:r>
    </w:p>
    <w:p>
      <w:r>
        <w:t>- 6 - générale de l'art. 29 al. 1 CPP tend ainsi à éviter au prévenu de devoir comparaître devant plusieurs tribunaux à raison des faits qui lui sont reprochés (Moreillon/Parein-Reymond, op. cit., n. 4 ad art. 29 CPP). Elle tend également à éviter des jugements contradictoires, que cela soit au niveau de la constatation de l'état de fait, de l'appréciation juridique ou de la fixation de la peine, et sert l'économie de la procédure. Il garantit également le respect du principe de l'égalité de traitement (art. 8 Cst. [Constitution fédérale de la Confédération suisse du 18 avril 1999 ; RS 101] et 3 al. 2 let. c CPP) (ATF 138 IV 29 consid. 3.2 ; ATF 138 IV 214 consid. 3.2 ; TF 6B_655/2022 du 31 août 2022 consid. 1.1). Dans ces circonstances, le Ministère public peut être tenu de joindre des procédures à l'encontre du même prévenu quand bien même la nature des infractions serait fort différente (ATF 138 IV 214 consid. 3.6 ; Moreillon/Parein- Reymond, op. cit., n. 5 ad art. 29 CPP, qui cite le cas de deux causes portant sur des violences domestiques et sur l'infraction d'escroquerie).</w:t>
      </w:r>
    </w:p>
    <w:p>
      <w:r>
        <w:rPr>
          <w:b/>
        </w:rPr>
        <w:t>E. 2.2.2</w:t>
      </w:r>
    </w:p>
    <w:p>
      <w:r>
        <w:t>Si des raisons objectives le justifient, le Ministère public et les tribunaux peuvent ordonner la jonction ou la disjonction de procédures pénales (art. 30 CPP). La disjonction de procédures doit rester l'exception (ATF 144 IV 97 consid. 3.3 ; ATF 138 IV 214 consid. 3.2). Cette mesure doit avant tout servir à garantir la rapidité de la procédure et à éviter un retard inutile. Constituent également des motifs objectifs un nombre élevé de coprévenus rendant la conduite d'une procédure unique trop difficile, une incapacité de comparaître de longue durée d'un des coprévenus – en fuite ou en raison d'une maladie – ou l'imminence de la prescription (ATF 138 IV 214 consid. 3.2). Tel peut aussi être le cas si, en sus du stade de l'instruction – avancé pour certains des coprévenus –, le degré de participation des coprévenus n'est pas le même et qu'en conséquence, cela entraînera un renvoi en jugement devant des autorités différentes (TF 1B_580/2021 du 10 mars 2022 consid. 2.1 et les arrêts cités). En revanche, la volonté de mettre en œuvre une procédure simplifiée (cf. art. 358 ss CPP) à l'égard d'un des coprévenus (TF 1B_506/2020 du 5 octobre 2020 consid. 2) ou des raisons d'organisation des autorités de poursuite pénale – notamment quant à une compétence spéciale des autorités de poursuite – ne constituent en soi pas des motifs de disjonction</w:t>
      </w:r>
    </w:p>
    <w:p>
      <w:r>
        <w:t>- 7 - (ATF 138 IV 214 consid. 3.2 ; TF 6B_655/2022 du 31 août 2022 consid.</w:t>
      </w:r>
    </w:p>
    <w:p>
      <w:r>
        <w:rPr>
          <w:b/>
        </w:rPr>
        <w:t>E. 2.2.3</w:t>
      </w:r>
    </w:p>
    <w:p>
      <w:r>
        <w:t>La fixation de for est réglée par l’art. 34 al. 1 CPP qui dispose que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 Des exceptions sont possibles dans le cadre des critères de l’art. 38 al. 1 CPP, soit lorsque la part prépondérante de l’activité délictueuse, la situation personnelle du prévenu ou d’autres motifs pertinents l’exigent, mais pour autant que les Ministères publics en conviennent ; une telle dérogation doit rester l’exception (Moreillon/Parein- Reymond, op. cit., n. 3 ad art. 38 CPP).</w:t>
      </w:r>
    </w:p>
    <w:p>
      <w:r>
        <w:rPr>
          <w:b/>
        </w:rPr>
        <w:t>E. 2.3</w:t>
      </w:r>
    </w:p>
    <w:p>
      <w:r>
        <w:t>En l’espèce, il est vrai qu’au moment où l’ordonnance attaquée a été rendue, les autorités fribourgeoises étaient compétentes pour la poursuite et le jugement de toutes les infractions reprochées au recourant, dès lors que les infractions de contrainte sexuelle et de viol – soit celles punies des peines les plus graves – auraient été commises dans le canton de Fribourg (art. 34 al. 1 CPP). Mais la dérogation prévue à l’art.</w:t>
      </w:r>
    </w:p>
    <w:p>
      <w:r>
        <w:t>- 8 - 38 al. 1 CPP pouvait s’appliquer si des motifs pertinents l’exigeaient. En effet, comme relevé d’emblée par les recourants, les infractions que les époux X.________ se reprochent mutuellement s’inscrivent toutes dans un même contexte de conflit conjugal, avant et après la séparation du couple ; cela implique que l’instruction serait menée à double dans les cantons de Vaud et de Fribourg, avec les mêmes parties et les mêmes témoins, ce qui est contraire aux principes de l’unité et de l’économie de la procédure. Vu ces éléments, la disjonction ne se justifiait pas. De toute manière, dès lors que, après la reddition de l’ordonnance de disjonction, C.X.________ a déposé une troisième plainte pénale contre son époux pour des faits de contrainte sexuelle et de viol commis dans le canton de Vaud en mars 2017 et qu’il s’agit donc du même comportement que B.X.________ aurait adopté le 17 septembre 2022 dans le canton de Fribourg, l’autorité désormais compétente est celle du lieu où les premiers actes de poursuite ont été entrepris, soit les autorités pénales vaudoises (art. 34 al. 1 CPP in fine). Les recours de B.X.________ et de C.X.________ ne pouvaient par ailleurs pas être déclarés sans objet, puisque les cas des époux étaient toujours disjoints.</w:t>
      </w:r>
    </w:p>
    <w:p>
      <w:r>
        <w:rPr>
          <w:b/>
        </w:rPr>
        <w:t>E. 3</w:t>
      </w:r>
    </w:p>
    <w:p>
      <w:r>
        <w:t>heures d’activité nécessaire d’avocat au tarif horaire de 300 fr., à laquelle s’ajoutent 2 % pour les débours, soit 18 fr., et 7,7 % de TVA sur le tout, soit 70 fr. 70, ce qui correspond à la somme totale de 989 fr. en chiffres arrondis. Elle est plus élevée que celle requise, pour tenir compte de l’échange d’écritures postérieur au dépôt du recours. Les frais de la procédure de recours et les indemnités allouées aux recourants seront laissés à la charge de l’Etat (art. 423 al. 1 et 428 al.</w:t>
      </w:r>
    </w:p>
    <w:p>
      <w:r>
        <w:rPr>
          <w:b/>
        </w:rPr>
        <w:t>E. 4</w:t>
      </w:r>
    </w:p>
    <w:p>
      <w:r>
        <w:t>CPP). Par ces motifs, la Chambre des recours pénale prononce : I. Les recours de B.X.________ et de C.X.________ sont admis. II. L’ordonnance du 10 mai 2023 est annulée. III. Les frais d’arrêt, par 880 fr. (huit cent huitante francs), sont laissés à la charge de l’Etat. IV. Une indemnité de 989 fr. (neuf cent huitante-neuf francs) est allouée à B.X.________ pour la procédure de recours, à la charge de l’Etat. V. Une indemnité de 989 fr. (neuf cent huitante-neuf francs) est allouée à C.X.________ pour la procédure de recours, à la charge de l’Etat.</w:t>
      </w:r>
    </w:p>
    <w:p>
      <w:r>
        <w:t>- 10 - VI. L’arrêt est exécutoire. La présidente : La greffière : Du Le présent arrêt, dont la rédaction a été approuvée à huis clos, est notifié, par l'envoi d'une copie complète, à : - Me Jonathan Rutschmann, avocat (pour B.X.________), - Me Benjamin Schwab, avocat (pour C.X.________), - Ministère public central, et communiqué à : - Mme la Procureure du Ministère public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