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PE22.023211 vom 21. Juli 2023</w:t>
      </w:r>
    </w:p>
    <w:p>
      <w:r>
        <w:t>VD Tribunal cantonal, 2023-07-21, FR</w:t>
      </w:r>
    </w:p>
    <w:p>
      <w:r>
        <w:rPr>
          <w:b/>
        </w:rPr>
        <w:t xml:space="preserve">Quelle: </w:t>
      </w:r>
      <w:r>
        <w:t>https://mcp.opencaselaw.ch/entscheid/vd_gerichte_PE22.023211</w:t>
      </w:r>
    </w:p>
    <w:p>
      <w:r>
        <w:t>FR: VD_GERICHTE PE22.023211 du 21 juillet 2023</w:t>
      </w:r>
    </w:p>
    <w:p>
      <w:r>
        <w:t>IT: VD_GERICHTE PE22.023211 del 21 luglio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dans la mesure où il conteste le refus de lui octroyer une indemnité au sens de l’art. 429 CPP (art. 382 al. 1 CPP), et satisfaisant aux conditions de forme prescrites (art. 385 al. 1 CPP), le recours est recevable.</w:t>
      </w:r>
    </w:p>
    <w:p>
      <w:r>
        <w:rPr>
          <w:b/>
        </w:rPr>
        <w:t>E. 1.2</w:t>
      </w:r>
    </w:p>
    <w:p>
      <w:r>
        <w:t>Dès lors que le recours porte uniquement sur les conséquences économiques accessoires d’une décision de classement et que le montant litigieux est inférieur à 5'000 fr., il relève de la compétence</w:t>
      </w:r>
    </w:p>
    <w:p>
      <w:r>
        <w:t>- 4 - d’un membre de la Chambre des recours pénale du Tribunal cantonal statuant comme juge unique (art. 395 let. b CPP et art. 13 al. 2 LVCPP).</w:t>
      </w:r>
    </w:p>
    <w:p>
      <w:r>
        <w:rPr>
          <w:b/>
        </w:rPr>
        <w:t>E. 2.1</w:t>
      </w:r>
    </w:p>
    <w:p>
      <w:r>
        <w:t>Invoquant une violation de l’art. 429 CPP, A.B.________ soutient qu’il était nécessaire qu’il recoure à un avocat, dès lors qu’une procédure de séparation extrêmement compliquée l’opposait à B.B.________ et qu’une condamnation pénale aurait pu entrainer des conséquences sur ses relations personnelles avec ses enfants. A cela s’ajoute que B.B.________ aurait déjà été condamnée pour avoir proféré de fausses affirmations à son encontre.</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TF 6B_591/2022 du 4 mai 2023 consid. 4.1.1).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w:t>
      </w:r>
    </w:p>
    <w:p>
      <w:r>
        <w:t>- 5 -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 Dans les cas juridiquement simples, l'activité de l'avocat peut se limiter au minimum, à savoir tout au plus à une simple consultation (cf. ATF 138 IV 197 consid. 2.3.5). L'indemnité visée par l'art. 429 al. 1 let. a CPP doit correspondre au tarif usuel du barreau applicable dans le canton où la procédure se déroule et englober la totalité des coûts de défense (ATF 142 IV 163 consid. 3.2.1 ; TF 6B_591/2022 précité consid. 4.1.3). Aux termes de l'art. 26a du Tarif des frais de procédure et indemnités en matière pénale (TFIP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2.2.2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w:t>
      </w:r>
    </w:p>
    <w:p>
      <w:r>
        <w:t>- 6 - (art. 423 à 428 CPP). Dans cette mesure, la décision sur les frais préjuge de la question de l'indemnisation (ATF 145 IV 268 consid. 1.2 ; TF 6B_248/2022 du 26 octobre 2022 consid. 1.2). En d'autres termes,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145 IV 268 consid. 1.2 ; ATF 137 IV 352 consid. 2.4.2 ; TF 6B_248/2022 précité consid. 1.2).</w:t>
      </w:r>
    </w:p>
    <w:p>
      <w:r>
        <w:rPr>
          <w:b/>
        </w:rPr>
        <w:t>E. 2.3</w:t>
      </w:r>
    </w:p>
    <w:p>
      <w:r>
        <w:t>En l’espèce, le recourant a bénéficié d’une ordonnance de classement et les frais relatifs à cette décision ont été laissés à la charge de l’Etat. Une indemnité était dès lors en principe due au recourant en application de l'art. 429 al. 1 let. a CPP si l’assistance d’un avocat devait être considérée comme raisonnable. A cet égard, il est vrai que les faits reprochés au recourant ne revêtaient pas en soi une gravité particulière et que la cause ne soulevait pas de difficultés particulières tant en fait qu’en droit. Celle-ci s’inscrit toutefois dans le cadre d’un contexte extraordinairement tendu. Les parties s’affrontent en effet dans le cadre d’une procédure matrimoniale extrêmement conflictuelle, qui a notamment pour enjeu la garde, respectivement le droit de visite sur leurs quatre enfants (cf. jugement du Tribunal de police de la Glâne du 10 novembre 2022, P. 12/2). Dans un tel contexte, une condamnation pour des actes de violence à l’encontre de son épouse, même pour de simples voies de fait, était susceptible d’entraîner des conséquences particulièrement lourdes pour le recourant. Il est par ailleurs établi que la plaignante a par le passé déjà porté plusieurs fausses accusations contre le recourant et qu’elle a de ce fait été condamnée pour diffamation (P. 12/1). Dans de telles circonstances, le recours aux services d’un avocat pouvait se justifier et apparaît dans tous les cas raisonnable.</w:t>
      </w:r>
    </w:p>
    <w:p>
      <w:r>
        <w:t>- 7 - Quant aux frais de défense invoqués, ils apparaissent également raisonnables. La liste des opérations produite (P. 12/1) ne prête pas le flanc à la critique, de sorte que le montant requis, à savoir 1'433 fr. 85, débours et TVA compris, peut être alloué.</w:t>
      </w:r>
    </w:p>
    <w:p>
      <w:r>
        <w:rPr>
          <w:b/>
        </w:rPr>
        <w:t>E. 3</w:t>
      </w:r>
    </w:p>
    <w:p>
      <w:r>
        <w:t>En définitive, le recours doit être admis et le chiffre II du dispositif de l’ordonnance entreprise réformé dans le sens du considérant qui précède. L’ordonnance, non contestée par ailleurs, sera maintenue pour le surplus. Au vu l’issue du recours, A.B.________ obtenant gain de cause, les frais de la procédure, constitués en l’espèce du seul émolument d'arrêt, par 630 fr. (art. 20 al. 1 TFIP), seront laissés à la charge de l'Etat. Le recourant, qui obtient gain de cause et a procédé avec l’assistance d’un avocat de choix, a droit à une juste indemnité pour les dépenses occasionnées par la procédure de recours (art. 429 al. 1 let. a CPP, applicable par renvoi de l’art. 436 al. 1 CPP), à la charge de l’Etat. Au vu du mémoire produit et de la nature de l’affaire, cette indemnité sera fixée à 500 fr., correspondant à deux heures d’activité nécessaire d’avocat au tarif horaire de 250 fr. (cf. art. 26a al. 3 TFIP), auxquels il convient d’ajouter des débours forfaitaires à concurrence de 2 % (cf. art. 19 al. 2 TDC [Tarif des dépens en matière civile du 23 novembre 2010 ; BLV 270.11.6], applicable par renvoi de l’art. 26a al. 6 TFIP), par 10 fr., plus un montant correspondant à la TVA, par 39 fr. 30, soit à 550 fr. au total en chiffres arrondis. Par ces motifs, le juge unique prononce : I. Le recours est admis. II. L’ordonnance du 16 juin 2023 est réformée comme il suit au chiffre II de son dispositif :</w:t>
      </w:r>
    </w:p>
    <w:p>
      <w:r>
        <w:t>- 8 - « II. Une indemnité de 1'433 fr. 85 (mille quatre cent trente- trois francs et huitante-cinq centimes), débours et TVA compris, est allouée à A.B.________, à la charge de l’Etat ». L’ordonnance est maintenue pour le surplus. III. Une indemnité de 550 fr. (cinq cent cinquante francs), TVA et débours compris, est allouée à A.B.________ pour la procédure de recours, à la charge de l’Etat. IV. Les frais d’arrêt, par 630 fr. (six cent trente francs), sont laissés à la charge de l’Etat. V. L’arrêt est exécutoire. Le juge unique : La greffière : Du Le présent arrêt, dont la rédaction a été approuvée à huis clos, est notifié, par l'envoi d'une copie complète, à : - Me Philippe Baudraz, avocat (pour A.B.________), - Ministère public central, et communiqué à : - M. le Procureur de l’arrondissement du Nord vaudois, - Mme B.B.________,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