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PE22.023036 vom 25. Mai 2023</w:t>
      </w:r>
    </w:p>
    <w:p>
      <w:r>
        <w:t>VD Tribunal cantonal, 2023-05-25, FR</w:t>
      </w:r>
    </w:p>
    <w:p>
      <w:r>
        <w:rPr>
          <w:b/>
        </w:rPr>
        <w:t xml:space="preserve">Quelle: </w:t>
      </w:r>
      <w:r>
        <w:t>https://mcp.opencaselaw.ch/entscheid/vd_gerichte_PE22.023036</w:t>
      </w:r>
    </w:p>
    <w:p>
      <w:r>
        <w:t>FR: VD_GERICHTE PE22.023036 du 25 mai 2023</w:t>
      </w:r>
    </w:p>
    <w:p>
      <w:r>
        <w:t>IT: VD_GERICHTE PE22.023036 del 25 maggio 2023</w:t>
      </w:r>
    </w:p>
    <w:p>
      <w:pPr>
        <w:pStyle w:val="Heading2"/>
      </w:pPr>
      <w:r>
        <w:t>Erwägungen</w:t>
      </w:r>
    </w:p>
    <w:p>
      <w:r>
        <w:rPr>
          <w:b/>
        </w:rPr>
        <w:t>E. 6</w:t>
      </w:r>
    </w:p>
    <w:p>
      <w:r>
        <w:t>En définitive, c’est à juste titre que le Ministère public a exclu, à ce stade de la procédure déjà, que les faits reprochés puissent être constitutifs d’une infraction pénale, le litige entre les parties étant de nature purement civile, de sorte qu’il était fondé à rendre une ordonnance de non-entrée en matière.</w:t>
      </w:r>
    </w:p>
    <w:p>
      <w:r>
        <w:rPr>
          <w:b/>
        </w:rPr>
        <w:t>E. 7</w:t>
      </w:r>
    </w:p>
    <w:p>
      <w:r>
        <w:t>En définitive, le recours, manifestement mal fondé, doit être rejeté, sans échange d’écritures (art. 390 al. 2 CPP), et l’ordonnance entreprise confirmée. Vu le sort du recours, il n’y a pas matière à l’allocation d’une indemnité pour les dépenses occasionnées par la procédure. Pour le surplus, les frais de la procédure, constitués en l’espèce du seul émolument d’arrêt, par 1’870 fr. (art. 20 al. 1 TFIP [Tarif des frais de procédure et indemnités en matière pénale du 28 septembre 2010 ; BLV 312.03.1]), seront mis à la charge des recourants, qui succombent (art. 428 al. 1 CPP), à parts égales et solidairement entre eux (art. 418 al. 1 et 2 CPP). Par ces motifs, la Chambre des recours pénale prononce : I. Le recours est rejeté. II. L’ordonnance du 19 janvier 2023 est confirmée. III. Les frais d’arrêt, par 1’870 fr. (mille huit cent septante francs), sont mis à la charge de X.________ et Y.________, à parts égales et solidairement entre eux. IV. L’arrêt est exécutoire. La présidente : La greffière :</w:t>
      </w:r>
    </w:p>
    <w:p>
      <w:r>
        <w:t>- 20 - Du Le présent arrêt, dont la rédaction a été approuvée à huis clos, est notifié, par l'envoi d'une copie complète, à : - Me Timo Sulc, avocat (pour X.________ et Y.________),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