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PE22.022892 vom 28. Juni 2023</w:t>
      </w:r>
    </w:p>
    <w:p>
      <w:r>
        <w:t>VD Tribunal cantonal, 2023-06-28, FR</w:t>
      </w:r>
    </w:p>
    <w:p>
      <w:r>
        <w:rPr>
          <w:b/>
        </w:rPr>
        <w:t xml:space="preserve">Quelle: </w:t>
      </w:r>
      <w:r>
        <w:t>https://mcp.opencaselaw.ch/entscheid/vd_gerichte_PE22.022892</w:t>
      </w:r>
    </w:p>
    <w:p>
      <w:r>
        <w:t>FR: VD_GERICHTE PE22.022892 du 28 juin 2023</w:t>
      </w:r>
    </w:p>
    <w:p>
      <w:r>
        <w:t>IT: VD_GERICHTE PE22.022892 del 28 giugno 2023</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devant l’autorité compétente par la partie plaignante qui a qualité pour recourir (art. 382 al. 1 CPP). Cela étant, l’acte n’est pas signé. Néanmoins, son enveloppe d’envoi comporte la mention manuscrite de l’identité de son auteur, ce qui satisfait à l’exigence d’une signature olographe (TF 1C_39/2013 du 11 mars 2013 consid. 2.4 ; ATF 108 Ia 289 consid. 2 p. 291; ATF 106 IV 65 consid. 1 p. 67; ATF 102 IV 142 consid. 2 p. 143). Au surplus, pour les motifs indiqués ci-dessous, la question de savoir si l’acte,</w:t>
      </w:r>
    </w:p>
    <w:p>
      <w:r>
        <w:t>- 4 - qui comprend par ailleurs des allégations qui peuvent être qualifiées d’inconvenantes, voire de graveleuses, notamment à l’égard de la gendarmerie d’Aigle et de [...], a été établi dans les formes prescrites (art. 385 al. 1 CPP) et, partant, s’il est recevable, peut être laissée ouverte.</w:t>
      </w:r>
    </w:p>
    <w:p>
      <w:r>
        <w:t>- 5 -</w:t>
      </w:r>
    </w:p>
    <w:p>
      <w:r>
        <w:rPr>
          <w:b/>
        </w:rPr>
        <w:t>E. 2.1</w:t>
      </w:r>
    </w:p>
    <w:p>
      <w:r>
        <w:t>A la faveur d’une argumentation confuse, le recourant reproche au Ministère public de s’être fondé sur la déposition de [...], alors même que ce dernier ne pouvait, selon le plaignant, pas avoir des souvenirs précis de la soirée, dès lors qu’il était sous l’influence de l’alcool ; le recourant affirme en outre que celui-ci lui avait clairement dit le jour suivant l’altercation que ce n’était pas lui qui l’avait blessé. En outre, s’agissant de l’audition de [...], le recourant soutient que c’est le gendarme qui a dû modifier le procès-verbal d’audition, dès lors que [...] lui aurait dit, dans le magasin [...], une semaine après les faits dénoncés, qu’il avait indiqué à la police que [...] lui avait donné un coup de pied. Le recourant affirme encore que le dossier est incomplet, dès lors qu’il manque les procès-verbaux d’audition d’un dénommé [...], de même que la déposition du patron du [...], dénommé ou prénommé [...], ainsi que celle d’[...], qui est semble-t-il une relation commune du plaignant et de [...]. Enfin, le recourant relève que l’injure « connasse du [...] », à raison de laquelle il a été condamné par ordonnance pénale rendue par le Ministère public le 17 janvier 2023, serait un surnom dont est affublée [...] en relation avec l’enseigne d’un établissement public aiglon au service duquel elle avait travaillé.</w:t>
      </w:r>
    </w:p>
    <w:p>
      <w:r>
        <w:rPr>
          <w:b/>
        </w:rPr>
        <w:t>E. 2.2.1</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- 6 -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ATF 137 IV 285 consid. 2.3 et les références citées, JdT 2012 IV 160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En l’espèce, le plaignant a été contrôlé par la police le 30 août 2022 à 23 h 15, à Aigle : il était alors alcoolisé et avait, selon le rapport de renseignements établi le 6 septembre 2022, une légère blessure au niveau de la joue droite (P. 5, p. 1). Il a adopté un « comportement plus que désagréable » envers la police (ibid.). Le 31 août 2022 à 7 heures, il s’est présenté alcoolisé au poste de police d’Aigle. Il lui a alors été dit qu’au vu de son état, il serait pris contact ultérieurement avec lui afin de convenir d’un rendez-vous pour le dépôt de sa plainte (P. 5, p. 2). Le 1er septembre 2022, le recourant s’est présenté au poste de police de Rennaz et a</w:t>
      </w:r>
    </w:p>
    <w:p>
      <w:r>
        <w:t>- 7 - déposé sa plainte (PV aud. 1), qu’il a complétée par acte du 21 novembre 2022 (P. 6). En bref, tous les faits dénoncés par le plaignant seraient survenus alors qu’il était fortement alcoolisé. S’agissant de l’altercation survenue sur la terrasse du [...], [...] a contesté avoir insulté le plaignant, lorsque celui-ci l’avait traitée de « sale frouze de merde ». Or, aucun témoin (ou personne appelée à donner des renseignements) ne semble a priori avoir été entendu. Il ressort néanmoins du rapport d’investigation de la gendarmerie du 24 novembre 2022 que celle-ci a renoncé à prendre contact avec [...] [...] [...] qui, selon le recourant, était présent lors des faits dénoncés, mais qu’elle a contacté par téléphone [...] et [...], qui avaient, selon le recourant, aussi assisté aux faits. Elle a renoncé à auditionner ceux-ci au vu de leurs déclarations. Il y a ainsi lieu d’admettre que la police a instruit les faits. Pour le reste, le recourant relève dans son recours qu’il manque les dépositions du patron du [...] et d’[...], auquel [...] a demandé que le recourant lui paie une bière une semaine après les faits, ce qu’il a refusé. Pour autant, le recourant n’affirme pas que ceux-ci pourraient confirmer que [...] l’a injurié. A cet égard le recours n’est pas suffisamment motivé, de sorte qu’il n’y a pas lieu d’entrer en matière sur ces moyens. Par ailleurs, le plaignant a reconnu, dans son procès-verbal d’audition-plainte, avoir « tenu des propos tendancieux au sujet des français (sic) sur le ton de l’humour (…) » (PV aud. 1, p. 1), ce à quoi [...] lui aurait répondu. Il s’ensuit que celle-ci pourrait, en tout état de cause, se prévaloir de l’art. 177 al. 3 CP (Code pénal ; RS 311.0), soit d’avoir immédiatement riposté à l’injure que le recourant admet avoir proférée à son encontre. Dans ces circonstances, même si des mesures d’instruction pouvaient être mises en œuvre et qu’elles établissaient que les faits se sont déroulés comme le recourant l’affirme, [...] serait très vraisemblablement exemptée de toute peine. Partant, il paraît vain d’instruire plus avant. S’agissant de l’altercation lors de laquelle le recourant a été blessé au visage, il y a lieu de constater que celle-ci l’a opposé à [...]. Certes, les déclarations de ce dernier et de [...] ne sont pas concordantes quant au rôle joué par [...]. En effet, le premier soutient que celle-ci n’est</w:t>
      </w:r>
    </w:p>
    <w:p>
      <w:r>
        <w:t>- 8 - pas intervenue, alors que le second a affirmé qu’elle s’était interposée. Toutefois, il y a lieu de constater que les déclarations de [...] confirment celles de [...], puisque celle-ci a indiqué s’être interposée et n’avoir pas frappé G.________ et que [...] a également affirmé qu’elle n’avait pas frappé le recourant. Or, le recourant ne développe aucun argument pertinent à cet égard, hormis des soupçons non étayés de falsification de procès-verbaux d’audition par la gendarmerie. Dans ces circonstances, il est douteux que le recours soit recevable sur ce point au regard des exigences de motivation de l’art. 385 al. 1 CPP. Surtout, aucune mesure d’instruction n’est propre à établir que l’intimée aurait donné un coup de pied au visage du recourant. A l’issue des investigations préliminaires auxquelles a procédé la police, le Ministère public pouvait ainsi exclure que les faits reprochés constituaient une infraction pénale, de sorte qu’il était fondé à rendre une ordonnance de non-entrée en matière sur la plainte dont il était saisi.</w:t>
      </w:r>
    </w:p>
    <w:p>
      <w:r>
        <w:rPr>
          <w:b/>
        </w:rPr>
        <w:t>E. 2.4</w:t>
      </w:r>
    </w:p>
    <w:p>
      <w:r>
        <w:t>Enfin, dans le dernier paragraphe de son recours, G.________ s’en prend à l’ordonnance pénale rendue contre lui par le Ministère public le 17 janvier 2023 et non à l’ordonnance de non-entrée du même jour, qui constitue l’objet du recours. Il y a en conséquence lieu de renvoyer le dossier de la cause au Ministère public pour qu’il examine si l’acte constitue une opposition recevable contre l’ordonnance pénale au sens de l’art. 354 al. 1 et 2 CPP.</w:t>
      </w:r>
    </w:p>
    <w:p>
      <w:r>
        <w:rPr>
          <w:b/>
        </w:rPr>
        <w:t>E. 3</w:t>
      </w:r>
    </w:p>
    <w:p>
      <w:r>
        <w:t>Au vu de ce qui précède, le recours, manifestement mal fondé, doit être rejeté sans échange d’écritures (art. 390 al. 2 CPP) dans la mesure où il est recevable et l’ordonnance entreprise confirmée. Au surplus, le dossier de la cause sera renvoyé au Ministère public pour qu’il procède dans le sens du considérant qui précède. Les frais de la procédure de recours, constitués du seul émolument d’arrêt, par 880 fr. (art. 20 al. 1 TFIP [tarif des frais de procédure et indemnités en matière pénale du 28 septembre 2010 ; BLV</w:t>
      </w:r>
    </w:p>
    <w:p>
      <w:r>
        <w:t>- 9 - 312.03.1]), seront mis à la charge du recourant, qui succombe (art. 428 al. 1 CPP). Par ces motifs, la Chambre des recours pénale prononce : I. Le recours est rejeté dans la mesure où il est recevable. II. L’ordonnance du 17 janvier 2023 est confirmée. III. Le dossier de la cause est renvoyé au Ministère public de l’arrondissement de l’Est vaudois pour qu’il procède dans le sens du considérant. IV. Les frais d’arrêt, par 880 fr. (huit cent huitante francs), sont mis à la charge de G.________. V. L’arrêt est exécutoire. La présidente : Le greffier : Du Le présent arrêt, dont la rédaction a été approuvée à huis clos, est notifié, par l'envoi d'une copie complète, à : - M. G.________, - Ministère public central, et communiqué à : - M. le Procureur de l’arrondissement de l’Est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