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PE22.022758 vom 15. April 2026</w:t>
      </w:r>
    </w:p>
    <w:p>
      <w:r>
        <w:t>VD Tribunal cantonal, 2026-04-15, FR</w:t>
      </w:r>
    </w:p>
    <w:p>
      <w:r>
        <w:rPr>
          <w:b/>
        </w:rPr>
        <w:t xml:space="preserve">Quelle: </w:t>
      </w:r>
      <w:r>
        <w:t>https://mcp.opencaselaw.ch/entscheid/vd_gerichte_PE22.022758</w:t>
      </w:r>
    </w:p>
    <w:p>
      <w:r>
        <w:t>FR: VD_GERICHTE PE22.022758 du 15 avril 2026</w:t>
      </w:r>
    </w:p>
    <w:p>
      <w:r>
        <w:t>IT: VD_GERICHTE PE22.022758 del 15 aprile 2026</w:t>
      </w:r>
    </w:p>
    <w:p>
      <w:pPr>
        <w:pStyle w:val="Heading2"/>
      </w:pPr>
      <w:r>
        <w:t>Erwägungen</w:t>
      </w:r>
    </w:p>
    <w:p>
      <w:r>
        <w:rPr>
          <w:b/>
        </w:rPr>
        <w:t>E. 5.1</w:t>
      </w:r>
    </w:p>
    <w:p>
      <w:r>
        <w:t>Invoquant une violation de la présomption d’innocence, l’appelant conteste les faits retenus à sa charge. Il reproche au premier juge, qui l’a partiellement acquitté en raison de diverses contradictions émaillant les déclarations de la victime (jugement, pp. 17-18), de ne pas être allé jusqu’au bout du raisonnement pour le libérer entièrement (déclaration d’appel, chapitre C. 4, pp. 30-31). Au bénéfice d’une analyse sémantique des considérants contestés du jugement, il souligne, tableaux à l’appui, tout ce qui n’est pas strictement identique (le chapitre C. 1 de la déclaration d’appel, pp. 11-18, concerne les épisodes non retenus, le chapitre C. 2, pp. 18-27, concerne l’épisode pour lequel le prévenu a été condamné). Il estime que nul ne peut être partiellement crédible ; on est crédible ou l’on ne l’est pas. La plaignante ne le serait pas, vu les contradictions relevées. 13J010</w:t>
      </w:r>
    </w:p>
    <w:p>
      <w:r>
        <w:t>- 14 - L’appelant invoque aussi d’autres moyens, à savoir : D’abord, le Tribunal de police aurait ignoré les témoignages à décharge de la mère et de la tante de la plaignante. La mère avait dit qu’elle n’avait jamais rien vu de suspect, que sa fille avait tendance à exagérer et à mentir et qu’elle était « jalouse » vis-à-vis du prévenu ; en outre, la mère avait aussi contredit sa fille au sujet de la description des câlins qu’elle recevait du prévenu. Quant à la tante, elle n’avait reçu de confidences que pour un seul épisode, ce qui prouverait « l’amplification du récit » par l’intimée (déclaration d’appel, chapitre C. 3, pp. 27-29). - Ensuite, le contexte de la révélation la rendrait suspecte. En effet, la plaignante avait une relation fusionnelle avec lui. Elle lui en avait voulu lorsqu’il avait quitté sa mère. Elle avait révélé les faits sitôt après. Comme elle se sentait déjà abandonnée par son père biologique, elle avait pu mentir pour attirer l’attention. Elle était aussi en colère contre sa mère qui, comme on l’a vu, l’accusait de mentir pour faire du mal. Elle avait admis que sa famille l’avait poussée à déposer plainte et l’avait « cuisinée longuement » (sic), ce qui avait pu la conduire à exagérer (déclaration d’appel, chapitre C. 5, pp. 32-36).</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concernent tant le fardeau de la preuve que l'appréciation des preuves au sens large (ATF 148 IV 409 consid. 2.2 ; ATF 13J010</w:t>
      </w:r>
    </w:p>
    <w:p>
      <w:r>
        <w:t>- 15 - 145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n. 34 ad art. 10 CPP ; Kistler Vianin, ibid., nn. 19 ss ad art. 398 CPP). L'appréciation des preuves doit être examinée dans son ensemble. Il n'y a ainsi pas d'arbitraire si l'état de fait retenu pouvait être déduit de manière soutenable du rapprochement de divers éléments ou 13J010</w:t>
      </w:r>
    </w:p>
    <w:p>
      <w:r>
        <w:t>- 16 -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w:t>
      </w:r>
    </w:p>
    <w:p>
      <w:r>
        <w:rPr>
          <w:b/>
        </w:rPr>
        <w:t>E. 5.2.2</w:t>
      </w:r>
    </w:p>
    <w:p>
      <w:r>
        <w:t>Les déclarations de la victime constituent un élément de preuve. Le juge doit, dans l'évaluation globale de l'ensemble des éléments probatoires rassemblés au dossier, les apprécier librement (TF 6B_802/2021 du 10 février 2022 consid. 1.1 ; TF 6B_366/2021 du 26 janvier 2022 consid. 2.1.2 ; TF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w:t>
      </w:r>
    </w:p>
    <w:p>
      <w:r>
        <w:rPr>
          <w:b/>
        </w:rPr>
        <w:t>E. 5.3.1</w:t>
      </w:r>
    </w:p>
    <w:p>
      <w:r>
        <w:t>Le prévenu était accusé d’un épisode particulier, par lequel la victime dit avoir été traumatisée, et d’un ensemble d’épisodes moins clairement décrits, dont il n’est pas exclu qu’ils aient été réinterprétés a posteriori par la plaignante. Le Tribunal de police n’a pas retenu ceux-ci, motif pris que les déclarations de la victime étaient à cet égard imprécises et que les faits n’étaient pas suffisamment étayés, de sorte que le doute devait profiter au prévenu. Le premier juge n’a jamais considéré que la victime mentait, ce qui aurait été, en effet, de nature à annihiler globalement sa crédibilité. Le moyen d’appel consistant en substance à soutenir que l’« on ne peut pas être partiellement crédible » doit donc être rejeté. 13J010</w:t>
      </w:r>
    </w:p>
    <w:p>
      <w:r>
        <w:t>- 17 - En ce qui concerne l’épisode retenu, le premier juge a estimé que les déclarations de la victime étaient claires, précises et constantes. On ne peut que souscrire à cette appréciation. Les contradictions relevées par la défense n’en sont pas. Elles relèvent bien plutôt d’inévitables imprécisions sémantiques susceptibles de survenir lors de la description de mêmes faits à des semaines, voire à des mois d’écart. Ainsi, notamment, c’est en vain que l’appelant soutient que la mention du port d’un « short et (d’un) t-shirt » serait en contradiction avec celle d’un « pyjama » en relation avec les mêmes faits (déclaration d’appel, ch. 2.7, p. 25), tant il est vrai qu’un vêtement de nuit peut de toute évidence être constitué d’un pantalon court et d’un maillot susceptibles d’être portés durant la journée également. Vu le fonctionnement de la mémoire, c’est un discours trop invariable qui serait, lui, suspect. Les imprécisions concernant les autres épisodes relatés s’expliquent par le fait qu’ils sont nombreux et n’ont pas directement traumatisé la victime ; il lui était ainsi très difficile de les différencier et de décrire chacun avec précision.</w:t>
      </w:r>
    </w:p>
    <w:p>
      <w:r>
        <w:rPr>
          <w:b/>
        </w:rPr>
        <w:t>E. 5.3.2</w:t>
      </w:r>
    </w:p>
    <w:p>
      <w:r>
        <w:t>Il reste à examiner le contexte du dévoilement. Il est vrai que la plaignante en voulait à sa mère et au prévenu de leur séparation. Pour autant, elle ne s’en est pas cachée. De plus, comme elle avait de l’affection pour son « beau-père » de fait, elle a tenté de maintenir le lien avec lui, continuant à le fréquenter durant deux mois, avec l’assentiment de sa mère. A cette période, la plaignante a révélé à sa mère, puis à sa tante, les actes dont il est question. Ses relations avec sa mère étaient si mauvaises à cette époque que celle-ci a sollicité l’intervention de la Direction générale de l’enfance et de la jeunesse. La plaignante a accusé le prévenu des faits que l’on sait et sa mère de violences physiques. Ce n’est qu’au bénéfice de la prescription de l’action pénale qu’un classement a été prononcé en faveur de la mère. On ne peut donc pas concevoir un complot qui aurait été ourdi par la mère et la fille pour se venger du prévenu. Par ailleurs, si la mère a relevé que la plaignante avait menti ou exagéré, elle se référait aux accusations portées contre elle-même ; elle n’a jamais mis en doute les accusations proférées par sa fille contre le prévenu, même si elle en a été surprise et choquée, n’ayant jamais rien vu de nature à susciter des 13J010</w:t>
      </w:r>
    </w:p>
    <w:p>
      <w:r>
        <w:t>- 18 - soupçons. En outre, la plaignante a admis que l’épisode principal de violence physique qu’elle dénonçait s’était déroulé tel que décrit par sa mère (elle l’avait saisie au cou sans l’étrangler), ce qui montre qu’elle est en mesure d’avoir un regard critique sur sa vision des choses. Il ressort également du dossier que la plaignante n’a, initialement, pas voulu déposer plainte, ce qui met à mal la thèse d’une recherche d’attention de sa part. Il est vrai qu’il ressort du dossier que la plaignante a initialement rapporté un seul épisode, avant de faire état de pratiques plus générales et fréquentes. La dénonciation par la Direction générale de l’enfance et de la jeunesse, l’audition de la victime, ainsi que les témoignages de la mère et de la tante permettent de comprendre que cet épisode isolé, qui a été retenu, a traumatisé la victime et sans doute provoqué le dévoilement des autres actes également. Quant aux autres épisodes, ils étaient trop peu caractérisés pour avoir marqué la plaignante. Il n’est pas exclu, comme déjà relevé, qu’elle réinterprète tous les câlins reçus à la lumière de ce dernier événement, ce qui explique que le doute ait profité au prévenu dans ce complexe de faits. La plaignante a été marquée sur le moment par l’événement incriminé retenu. On ne décèle de sa part aucune affabulation à des fins de vengeance ; en particulier, une réinterprétation a posteriori ne saurait être tenue pour révélatrice d’un tel dessein. La séparation peut favoriser le dévoilement d’événements vécus, pas seulement des mensonges.</w:t>
      </w:r>
    </w:p>
    <w:p>
      <w:r>
        <w:rPr>
          <w:b/>
        </w:rPr>
        <w:t>E. 5.4</w:t>
      </w:r>
    </w:p>
    <w:p>
      <w:r>
        <w:t>En définitive, avec le premier juge, on doit admettre que la victime est sincère et que ses accusations, modérées, sont crédibles. Partant, le Tribunal de police n’a pas violé la présomption d’innocence en les tenant pour avérées.</w:t>
      </w:r>
    </w:p>
    <w:p>
      <w:r>
        <w:rPr>
          <w:b/>
        </w:rPr>
        <w:t>E. 6</w:t>
      </w:r>
    </w:p>
    <w:p>
      <w:r>
        <w:t>juin 2011 consid. 1.1).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(ATF 131 IV 100 consid. 7.1), lesquels remplissent toujours la condition objective de l'infraction, indépendamment des mobiles de l'auteur ou de la signification que le comportement a pour celui-ci ou pour la victime (ATF 125 IV 58 consid. 3b ; TF 6B_194/2024 précité, ibid. ; TF 7B_62/2022 du 2 février 2024 consid. 5.2.2 et les références citées ; TF 6B_866/2022 du 5 juin 2023 consid. 4.1.2). Dans les cas équivoques (« ambivalente sexuelle Handlungen ») - qui n'apparaissent ni neutres ni clairement connotés 13J010</w:t>
      </w:r>
    </w:p>
    <w:p>
      <w:r>
        <w:t>- 20 - sexuellement -, il convient de tenir compte de l'ensemble des éléments d'espèce, notamment de l'âge de la victime ou de sa différence d'âge avec l'auteur, de la durée de l'acte et de son intensité, ainsi que du lieu choisi par l'auteur (ATF 125 IV 58 consid. 3b). La jurisprudence privilégie une approche objective qui ne prend pas en compte les mobiles de l'auteur ; il faut que, pour un observateur extérieur, le comportement apparaisse clairement comme un acte à caractère sexuel au vu de l'ensemble des circonstances (ATF 125 IV 58 consid. 3b). Il résulte de la jurisprudence que la notion d'acte d'ordre sexuel doit être interprétée plus largement lorsque la victime est un enfant. Dans ce cas, il faut se demander si l'acte, qui doit revêtir un caractère sexuel indiscutable, est de nature à perturber l'enfant (TF 6B_194/2024 précité, ibid. ; TF 7B_62/2022 du 2 février 2024 consid. 5.2.2 et les références citées ; TF 6B_866/2022 du 5 juin 2023 consid. 4.1.2). La notion d'acte d'ordre sexuel doit être interprétée plus largement lorsque la victime est un enfant, par exemple pour des attouchements furtifs par- dessus les habits (TF 6B_194/2024 précité, ibid. ; TF 6B_44/2020 du 16 septembre 2020 consid. 5.1 ; TF 6B_103/2011 précité, ibid.). A titre d'exemples, les comportements simplement inconvenants, inappropriés, indécents, de mauvais goût, impudiques ou désagréables doivent demeurer en principe hors du champ des actes pénalement répréhensibles (ATF 125 IV 58 consid. 3b ; TF 6B_194/2024 précité, ibid. ; TF 7B_62/2022 du 2 février 2024 consid. 5.2.3 ; TF 6B_299/2018 du 4 juillet 2018 consid. 2.1.1). Même si ces actes heurtent le sentiment de pudeur, ils ne sont pas de nature à perturber le développement sexuel des mineurs car ils ne se rapportent pas directement à la sexualité (TF 6B_194/2024 précité, ibid., et la référence doctrinale citée). En revanche, un baiser lingual, des baisers insistants sur la bouche, de même qu'une caresse insistante du sexe, des fesses ou des seins, même par-dessus les habits, constituent un acte d'ordre sexuel (TF 6B_194/précité, ibid. ; TF 6B_866/2022 du 5 juin 2023 consid. 4.1.2 et les références citées ; pour de nombreux exemples, cf. TF 7B_62/2022 du 2 février 2024 consid. 5.2.3). Sur le plan subjectif, l'auteur doit agir intentionnellement, l'intention devant porter sur le caractère sexuel de l'acte, sur le fait que la victime est âgée de moins de seize ans et sur le fait que la différence d'âge 13J010</w:t>
      </w:r>
    </w:p>
    <w:p>
      <w:r>
        <w:t>- 21 - est supérieure à trois ans. Les motifs ne sont pas déterminants, de sorte qu'il importe peu que l'acte tende ou non à l'excitation ou à la jouissance sexuelle. Le dol éventuel suffit (TF 6B_194/2024 du 17 mai 2024 précité, ibid., et les références citées).</w:t>
      </w:r>
    </w:p>
    <w:p>
      <w:r>
        <w:rPr>
          <w:b/>
        </w:rPr>
        <w:t>E. 6.1</w:t>
      </w:r>
    </w:p>
    <w:p>
      <w:r>
        <w:t>; TF 6B_1122/2018 du 29 janvier 2019 consid. 3.1 ; TF 6B_103/2011 du</w:t>
      </w:r>
    </w:p>
    <w:p>
      <w:r>
        <w:rPr>
          <w:b/>
        </w:rPr>
        <w:t>E. 6.2</w:t>
      </w:r>
    </w:p>
    <w:p>
      <w:r>
        <w:t>Aux termes de l'art. 187 ch. 1 CP (dans sa teneur en vigueur jusqu'au 30 juin 2024),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L'art.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(ATF 146 IV 153 consid. 3.5.2 pp. 156 s. ; TF 6B_194/2024 du 17 mai 2024 consid. 1.1.2 ; TF 6B_935/2020 du 25 février 2021 consid. 3.1 ; TF 6B_123/2020 du 26 novembre 2020 consid.</w:t>
      </w:r>
    </w:p>
    <w:p>
      <w:r>
        <w:rPr>
          <w:b/>
        </w:rPr>
        <w:t>E. 6.3</w:t>
      </w:r>
    </w:p>
    <w:p>
      <w:r>
        <w:t>Le Tribunal de police a retenu, sur la base du récit de la victime, que le prévenu avait en tout cas touché les fesses de celle-ci, ce qui en faisait un acte d'ordre sexuel. Il a relevé que, selon la plaignante, la respiration du prévenu avait augmenté pour devenir plus forte et que, lorsqu’il s’était levé, il avait « décollé son short » (cf. jugement, consid. 3bb, p. 20). Ces éléments démontraient que le prévenu s’en était procuré une certaine jouissance sexuelle (ibid.). L’état de fait ayant été arrêté, il ne peut qu’être souscrit à cette appréciation. Il n’est pas anodin que la respiration du prévenu ait marqué la victime. Enfin, les crimes sexuels ne sont pas tous le fait de prédateurs agissant de manière récurrente, dès lors que ces actes peuvent également s’expliquer par l’opportunité. Le fait que le prévenu arbitre, sans problème apparent, des enfants jouant au football n’exclut pas qu’il ait pu être troublé par la proximité physique d’une adolescente, lors de câlins en privé. Les éléments constitutifs objectifs et subjectifs de l’infraction réprimée à l’art. 187 ch. 1 aCP sont ainsi réalisés.</w:t>
      </w:r>
    </w:p>
    <w:p>
      <w:r>
        <w:rPr>
          <w:b/>
        </w:rPr>
        <w:t>E. 7</w:t>
      </w:r>
    </w:p>
    <w:p>
      <w:r>
        <w:t>L’appelant ne conteste la peine que dans la mesure où il conclut à son acquittement. Elle doit néanmoins être examinée d’office.</w:t>
      </w:r>
    </w:p>
    <w:p>
      <w:r>
        <w:rPr>
          <w:b/>
        </w:rPr>
        <w:t>E. 7.1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13J010</w:t>
      </w:r>
    </w:p>
    <w:p>
      <w:r>
        <w:t>- 22 -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7.2</w:t>
      </w:r>
    </w:p>
    <w:p>
      <w:r>
        <w:t>Le prévenu a agi pour assouvir ses pulsions sans aucune considération quant aux conséquences de ses actes sur sa victime. Il a profité de la relation de confiance qu’il avait établie avec la fille de sa compagne ainsi que de l’affection que lui portait l’enfant pour passer à l’acte, abusant ainsi de la crédulité juvénile de sa victime. Il s’agit d’autant d’éléments à charge. On ne discerne aucun élément à décharge. Au vu des éléments d’appréciation ci-dessus, une peine privative de liberté de six mois apparaît adéquate pour réprimer les actes incriminés. Le sursis s’impose, le prévenu n’ayant pas d’antécédent. La durée du délai d’épreuve assortissant le sursis n’est pas contestée et peut être confirmée, bien qu’il s’agisse d’un acte isolé, tant ce type d’infraction est fréquemment répété, si les circonstances s’y prêtent.</w:t>
      </w:r>
    </w:p>
    <w:p>
      <w:r>
        <w:rPr>
          <w:b/>
        </w:rPr>
        <w:t>E. 8</w:t>
      </w:r>
    </w:p>
    <w:p>
      <w:r>
        <w:t>L’appel n’est pas motivé pour ce qui est de ses conclusions portant sur les accessoires, les prétentions civiles, ainsi que les indemnités et frais. Force est d’en déduire que ces conclusions sont subordonnées à l’acquittement demandé. L’appelant succombant quant au sort de l’action pénale, elles doivent être rejetées. A toutes fins utiles, la Cour relèvera 13J010</w:t>
      </w:r>
    </w:p>
    <w:p>
      <w:r>
        <w:t>- 23 - néanmoins que l’indemnité pour tort moral allouée, de 3'000 fr., n’est pas excessive au regard de l’art. 49 CO, la plaignante ayant été traumatisée par l’épisode et en gardant des blocages lors de relations sexuelles.</w:t>
      </w:r>
    </w:p>
    <w:p>
      <w:r>
        <w:rPr>
          <w:b/>
        </w:rPr>
        <w:t>E. 9</w:t>
      </w:r>
    </w:p>
    <w:p>
      <w:r>
        <w:t>Le conseil juridique gratuit de la partie plaignante a produit en audience une liste d’opérations dont il n’y a pas lieu de s’écarter, si ce n’est pour ajouter le temps consacré à l’audience d’appel. C’est ainsi une indemnité de 973 fr. 20 qui sera allouée à Me Fabien Mingard pour la procédure d’appel, correspondant à quatre heures et 15 minutes d’activité d’avocat au tarif horaire de 180 fr., à 15 fr. 30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à une vacation forfaitaire de 120 fr. pour l’audience d’appel et à 72 fr. 90 de TVA. Vu l’issue de la cause, les frais de la procédure d’appel, constitués des émoluments de jugement et d’audience, par 2'160 fr. (art. 21 al. 1 et 2 TFIP [tarif des frais de procédure et indemnités en matière pénale du 28 septembre 2010 ; BLV 312.03.1]), ainsi que de l’indemnité ci- dessus,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