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PE22.022739 vom 17. Mai 2023</w:t>
      </w:r>
    </w:p>
    <w:p>
      <w:r>
        <w:t>VD Tribunal cantonal, 2023-05-17, FR</w:t>
      </w:r>
    </w:p>
    <w:p>
      <w:r>
        <w:rPr>
          <w:b/>
        </w:rPr>
        <w:t xml:space="preserve">Quelle: </w:t>
      </w:r>
      <w:r>
        <w:t>https://mcp.opencaselaw.ch/entscheid/vd_gerichte_PE22.022739</w:t>
      </w:r>
    </w:p>
    <w:p>
      <w:r>
        <w:t>FR: VD_GERICHTE PE22.022739 du 17 mai 2023</w:t>
      </w:r>
    </w:p>
    <w:p>
      <w:r>
        <w:t>IT: VD_GERICHTE PE22.022739 del 17 maggio 2023</w:t>
      </w:r>
    </w:p>
    <w:p>
      <w:pPr>
        <w:pStyle w:val="Heading2"/>
      </w:pPr>
      <w:r>
        <w:t>Volltext</w:t>
      </w:r>
    </w:p>
    <w:p>
      <w:r>
        <w:t>TRIBUNAL CANTONAL 406 PE22.022739-JBC CHAMBRE DE S RECO URS PEN ALE __________________________________________ Arrêt du 17 mai 2023 __________________ Composition : Mme BYRDE, présidente M. Maillard et Mme Epard, juges Greffière : Mme Vanhove ***** Art. 144 CP et 310 CPP Statuant sur le recours interjeté le 22 décembre 2002 par S.________ contre l’ordonnance de non-entrée en matière rendue le 16 décembre 2022 par le Ministère public de l’arrondissement de La Côte dans la cause n° PE22.022739-JBC, la Chambre des recours pénale considère : En fait : A. Le 30 août 2022, S.________ a déposé plainte contre inconnu pour dommages à la propriété (P. 1). 351</w:t>
      </w:r>
    </w:p>
    <w:p>
      <w:r>
        <w:t>- 2 - Elle a exposé avoir, le 29 août 2022, stationné sans droit son véhicule de marque [...], immatriculé VD[...], sur la place de parc de son voisin F.________, estimant que celui-ci pouvait la contacter pour lui demander de déplacer son véhicule si nécessaire, puis avoir constaté, le lendemain matin, que le balai de l’essuie-glace droit de son véhicule avait été levé et qu’il avait frotté contre l’arrête du capot, et que plusieurs raies avaient effectuées avec un objet indéterminé sur le capot, dont trois profondes. Entendu le 2 novembre 2022 par la police, en qualité de personne appelée à donner des renseignements, F.________ a reconnu avoir levé l’essuie-glace de la voiture de la plaignante et a contesté tout dommage. Il a également déclaré : « Je suis juste désolé pour l’essuie glace (sic) s’il y a eu des dégâts quand je l’ai levé, mais pour le reste, j’ai tout dit, je n’ai rien fait d’autre ». Entendu une seconde fois le 17 novembre 2022, cette fois en qualité de prévenu, F.________ a confirmé ses déclarations faites précédemment. B. Par ordonnance du 16 décembre 2022, le Ministère public de l’arrondissement de La Côte a refusé d’entrer en matière sur la plainte de S.________ (I) et a laissé les frais à la charge de l’Etat (II). Le procureur a considéré qu’il n’y avait pas matière à ouvrir une instruction pénale, dès lors que les versions des faits des parties étaient irrémédiablement contradictoires et qu’aucune mesure d’enquête n’était à même d’établir les faits à satisfaction de droit. Il a précisé que le simple fait de soulever un essuie-glace, pièce d’ailleurs prévue pour être ainsi actionnée, n’était pas de nature à causer des rayures sur l’arrête du capot moteur. C. Par acte du 22 décembre 2022, S.________ a recouru contre cette ordonnance, en concluant implicitement à son annulation.</w:t>
      </w:r>
    </w:p>
    <w:p>
      <w:r>
        <w:t>- 3 - Le 2 février 2023, S.________ a versé 550 fr. à titre de sûretés pour les frais de la procédure de recours. Par courrier du 27 avril 2023, le Ministère public a indiqué qu’il n’entendait pas déposer de déterminations et qu’il se référait à son ordonnance. En d roit : 1. 1.1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1.2 En l’espèce, interjeté en temps utile auprès de l’autorité compétente et dans les formes prescrites, par la partie plaignante qui a qualité pour recourir (art. 382 al. 1 CPP), le recours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- 4 -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 3.1 La recourante soutient que le fait de soulever l’essuie-glace sans effectuer une manipulation nécessitant l’allumage du véhicule était impossible sans endommager la peinture du capot moteur. A l’appui de ses dires, elle produit une copie d’une page internet relative à la maintenance et l’entretien de son véhicule et relève que l’officier de police dont le matricule était le [...] avait également constaté l’impossibilité de relever l’essuie-glace sans forcer sur le capot moteur.</w:t>
      </w:r>
    </w:p>
    <w:p>
      <w:r>
        <w:t>- 5 - 3.2 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infractions en droit suisse, vol. I, 3e éd., Berne 2010, nn. 11 ss ad art. 144 CP).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143 ; Dupuis et al. [éd.], Petit Commentaire du Code pénal, 2e éd., Bâle 2017, n. 16 ad art. 144 CP et réf. cit. ; Corboz, op. cit., n. 23 ad art. 144 CP). 3.3 En l’espèce, il convient de distinguer les griffures se trouvant sur le capot moteur du véhicule de S.________, de celles se trouvant sur l’arrête dudit capot. S’agissant des premières, il apparait clairement qu’il s’agit d’un acte volontaire au vu des photographies au dossier (cf. P.1). Or, le prévenu, entendu à deux reprises, a nié avoir rayé le capot du véhicule de la recourante. Compte tenu des déclarations contradictoires des parties, le Ministère public pouvait retenir que les éléments en présence n’étaient pas suffisants pour fonder des soupçons d’infraction et qu’aucune mesure d’instruction n’était à même d’élucider les faits, en l’absence de témoin. En ce qui concerne en revanche la rayure située sur l’arrête du capot, il ressort de la pièce produite par la recourante que pour être levés, les balais d’essuie-glace devaient être en position « entretien », ce qui</w:t>
      </w:r>
    </w:p>
    <w:p>
      <w:r>
        <w:t>- 6 - nécessite d’appuyer sur le bouton « START/STOP ENGINE » du véhicule et de procéder à diverses opérations. Il est également précisé que « [s]i les bras d’essuie-glace sont relevés alors qu’ils sont en position d’entretien, il convient de les rabattre sur le pare-brise avant d’activer les essuie-glaces. Cela permet d’éviter de rayer la peinture du capot moteur ». Il serait donc pertinent d’instruire sur la question de savoir si le prévenu a dû forcer sur le balai de l’essuie-glace pour le lever, en procédant à son audition, voire à celle l’officier de police [...] qui aurait également constaté qu’il n’était pas possible de faire autrement. De cette manière, le Ministère public devrait être en mesure d’établir le caractère intentionnel ou non du dommage reproché. 4. Au vu de ce qui précède, le recours doit être admis et l’ordonnance entreprise annulée. Le dossier de la cause sera renvoyé au Ministère public pour qu’il ouvre une instruction et procède dans le sens des considérants. Vu l’admission du recours, les frais de la procédure, constitués en l’espèce du seul émolument d'arrêt, par 660 fr. (art. 20 al. 1 TFIP [Tarif des frais de procédure et indemnités en matière pénale du 28 septembre 2010 ; BLV 312.03.1]), seront laissés à la charge de l’Etat (art. 428 al. 4 CPP). Le montant de 550 fr. versé par la recourante à titre de sûretés lui sera par ailleurs restitué (art. 7 TFIP). Par ces motifs, la Chambre des recours pénale prononce : I. Le recours est admis. II. L’ordonnance du 16 décembre 2022 est annulée. III. Le dossier de la cause est renvoyé au Ministère public de l’arrondissement de La Côte pour qu’il procède dans le sens des considérants.</w:t>
      </w:r>
    </w:p>
    <w:p>
      <w:r>
        <w:t>- 7 - IV. Les frais d’arrêt par 660 fr. (six cent soixante francs) sont laissés à la charge de l’Etat. V. Le montant de 550 fr. (cinq cent cinquante francs) versé par S.________ à titre de sûretés lui est restituée. IV. L’arrêt est exécutoire. La présidente : La greffière : Du Le présent arrêt, dont la rédaction a été approuvée à huis clos, est notifié, par l'envoi d'une copie complète, à : - Mme S.________, - Ministère public central ;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