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PE22.022268 vom 5. Juni 2024</w:t>
      </w:r>
    </w:p>
    <w:p>
      <w:r>
        <w:t>VD Tribunal cantonal, 2024-06-05, FR</w:t>
      </w:r>
    </w:p>
    <w:p>
      <w:r>
        <w:rPr>
          <w:b/>
        </w:rPr>
        <w:t xml:space="preserve">Quelle: </w:t>
      </w:r>
      <w:r>
        <w:t>https://mcp.opencaselaw.ch/entscheid/vd_gerichte_PE22.022268</w:t>
      </w:r>
    </w:p>
    <w:p>
      <w:r>
        <w:t>FR: VD_GERICHTE PE22.022268 du 5 juin 2024</w:t>
      </w:r>
    </w:p>
    <w:p>
      <w:r>
        <w:t>IT: VD_GERICHTE PE22.022268 del 5 giugno 2024</w:t>
      </w:r>
    </w:p>
    <w:p>
      <w:pPr>
        <w:pStyle w:val="Heading2"/>
      </w:pPr>
      <w:r>
        <w:t>Erwägungen</w:t>
      </w:r>
    </w:p>
    <w:p>
      <w:r>
        <w:rPr>
          <w:b/>
        </w:rPr>
        <w:t>E. 1</w:t>
      </w:r>
    </w:p>
    <w:p>
      <w:r>
        <w:t>P.________ est né le [...] 1984 en France, pays dont il est ressortissant et dans lequel il a été élevé et a grandi. Il y a suivi toute sa formation, jusqu’à l’obtention d’une licence universitaire en lettres. Il y a ensuite travaillé comme opérateur de saisie notamment. Il est arrivé en Suisse pour la première fois en 2013, puis est finalement retourné à Paris</w:t>
      </w:r>
    </w:p>
    <w:p>
      <w:r>
        <w:t>- 7 - pour effectuer une formation d’aide-soignant. Il a par la suite exercé cette profession en Suisse, dès 2016, puis en France. Son salaire mensuel net s’élève en moyenne à quelque 1'400 euros. P.________, toujours domicilié en France, est célibataire et n’a pas d’enfant. Le casier judiciaire suisse de l’intéressé mentionne les condamnations suivantes : - 21 janvier 2019, Tribunal de police de Genève : entrave aux mesures de constatation de l'incapacité de conduire en qualité de conducteur d'un véhicule automobile et conduite d'un véhicule automobile malgré le refus, le retrait ou l'interdiction de l'usage du permis, peine pécuniaire de 120 jours-amende à 30 fr. le jour, avec sursis pendant trois ans, et 720 fr. d’amende ; - 31 juillet 2019, Ministère public du canton de Genève : violation grave des règles de la circulation routière et conduite d'un véhicule automobile malgré le refus, le retrait ou l'interdiction de l'usage du permis, peine pécuniaire de 35 jours-amende à 50 fr. le jour, avec sursis pendant trois ans, et 500 fr. d’amende, peine complémentaire à celle prononcée le 21 janvier 2019 ; - 20 juillet 2023, Ministère public de l’arrondissement de l’Est vaudois : injure et menaces, peine pécuniaire de 60 jours-amende à 30 fr. le jour. Quant au casier judiciaire français de P.________, il fait état des inscriptions suivantes : - 26 janvier 2007, Tribunal correctionnel de Paris : détention non autorisée de stupéfiants, usage illicite de stupéfiants et complicité d’offre ou cession non autorisée de stupéfiants, quatre mois d’emprisonnement avec sursis ; - 8 février 2012, Tribunal correctionnel de Créteil : usage illicite de stupéfiants, 500 euros d’amende ; - 14 décembre 2012, Tribunal correctionnel de Créteil : conduite d’un véhicule en ayant fait usage de substances ou plantes</w:t>
      </w:r>
    </w:p>
    <w:p>
      <w:r>
        <w:t>- 8 - classées comme stupéfiants, 600 euros d’amende et suspension du permis de conduire pendant trois mois ; - 15 octobre 2014, Tribunal correctionnel de Créteil : conduite d’un véhicule à moteur malgré une suspension administrative ou judiciaire du permis de conduire, 400 euros d’amende ; - 21 juillet 2015, Tribunal correctionnel de Créteil : violence avec usage ou menace d’une arme suivie d’incapacité supérieure à huit jours, huit mois d’emprisonnement avec sursis et interdiction de séjour pendant huit mois.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conteste la quotité de la peine privative de liberté et le montant du jour-amende de la peine pécuniaire qui lui ont été infligées par le tribunal de police, ainsi que l’absence de sursis assortissant les peines en question. Il estime en substance que la première juge a fixé une peine trop lourde compte tenu de la diminution de sa responsabilité pénale relative à son alcoolisation au moment des faits. Il soutient par ailleurs que le tribunal de police n’a pas tenu compte de sa</w:t>
      </w:r>
    </w:p>
    <w:p>
      <w:r>
        <w:t>- 10 - situation personnelle et financière. Il a ainsi mis en avant, entre autres, la collaboration dont il aurait fait preuve avec les autorités de poursuite pénale, sa prise de conscience de la gravité de ses actes, ses propositions de réparation du dommage adressées à I.________, sa volonté de soigner son addiction à l’alcool et ses accès de colère, ainsi que sa situation financière compliquée. Il indique en outre qu’une peine ferme mettrait en péril son activité d’aide-soignant.</w:t>
      </w:r>
    </w:p>
    <w:p>
      <w:r>
        <w:rPr>
          <w:b/>
        </w:rPr>
        <w:t>E. 3.2.1</w:t>
      </w:r>
    </w:p>
    <w:p>
      <w:r>
        <w:t>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3.2.2</w:t>
      </w:r>
    </w:p>
    <w:p>
      <w:r>
        <w:t>Aux termes de l’art. 34 al. 1 CP, sauf disposition contraire, la peine pécuniaire est de trois jours-amende au moins et ne peut excéder 180 jours-amende. Le juge fixe leur nombre en fonction de la culpabilité de l’auteur.</w:t>
      </w:r>
    </w:p>
    <w:p>
      <w:r>
        <w:t>- 11 - Selon l’art. 34 al. 2 CP, le jour-amende est en règle générale de 30 fr. au moins et de 3'000 fr. au plus. Le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12 septembre 2024/306 consid. 6.1.2 ; CAPE 5 avril 2023/181 consid. 8.1).</w:t>
      </w:r>
    </w:p>
    <w:p>
      <w:r>
        <w:rPr>
          <w:b/>
        </w:rPr>
        <w:t>E. 3.2.3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w:t>
      </w:r>
    </w:p>
    <w:p>
      <w:r>
        <w:t>- 12 -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w:t>
      </w:r>
    </w:p>
    <w:p>
      <w:r>
        <w:rPr>
          <w:b/>
        </w:rPr>
        <w:t>E. 3.2.4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L’irresponsabilité au sens de l’art. 19 al. 1 CP suppose une altération grave, telle qu'une psychose particulière, une démence sévère ou une intoxication grave (TF 6B_1060/2010 du 17 août 2011 consid. 1 et la référence citée). La responsabilité restreinte est quant à elle caractérisée par une défaillance de la connaissance et/ou de la volonté, avec la nuance que le défaut diminue, mais ne supprime pas toute faculté de se déterminer (Dupuis et al. [éd.], Petit commentaire, Code pénal, 2e éd., Bâle, 2017, n. 14 ad art. 19 CP et les références citées).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w:t>
      </w:r>
    </w:p>
    <w:p>
      <w:r>
        <w:t>- 13 - avant, pendant et après la commission de l’acte est indispensable. En effet, l’état psychopathologique (l’ivresse) est décisif et non la cause de cet état, à savoir la quantité d’alcool consommé qu’indique le taux d’alcoolémie dans le sang (Dupuis et al. [éd.], op. cit., n. 17 ad art. 19 CP et les références citées).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6B_1307/2021 du 9 janvier 2023 consid. 1.1.1 et les références citées). A lui seul, le taux d'alcoolémie n'est en effet pas déterminant. Il faut que des indices concrets viennent attester d'une altération des facultés consécutive à l'absorption d'alcool, suffisante à faire douter de la pleine responsabilité de l'auteur au moment de l'acte. Ce qui en définitive importe c'est l'état dans lequel se trouvait l'auteur au moment d'agir, non pas la cause de cet état, soit la consommation d'alcool, telle qu'exprimée par le taux d'alcoolémie (ATF 122 IV 49 consid. 1b ; TF 6S.17/2002 du 7 mai 2002 consid. 1c/aa).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(TF 6B_151/2022 du 10 novembre 2022 consid. 2.2 et les références citées).</w:t>
      </w:r>
    </w:p>
    <w:p>
      <w:r>
        <w:rPr>
          <w:b/>
        </w:rPr>
        <w:t>E. 3.3</w:t>
      </w:r>
    </w:p>
    <w:p>
      <w:r>
        <w:t>Le tribunal de police a considéré que la culpabilité de P.________ était très lourde. N’acceptant pas qu’I.________ mette fin à leur</w:t>
      </w:r>
    </w:p>
    <w:p>
      <w:r>
        <w:t>- 14 - relation, il avait adopté un comportement particulièrement violent envers sa victime, la rouant de coups de poing, de pied et de ceinture, lui occasionnant des lésions et traumatismes médicalement étayés. La première juge a mis en évidence les antécédents pénaux de l’intéressé, tout comme sa récidive en cours d’enquête (condamnation du 20 juillet 2023). Elle a par ailleurs retenu le manque de sincérité des excuses adressées par l’appelant à I.________ et l’absence manifeste de prise de conscience de la gravité des actes commis. En application de l’art. 19 al. 2 CP, le tribunal de police a admis une légère diminution de responsabilité de P.________. Ces considérations doivent être suivies. La culpabilité de P.________ est très lourde, vu la gratuité et la violence de son comportement contre I.________, qui était pourtant venue en aide à l’intéressé, qui était ivre. Aux débats de première instance, la victime a déclaré qu’au moment des faits, elle avait cru qu’elle allait mourir, et qu’elle avait pensé à se jeter par la fenêtre, du cinquième étage, pour échapper à P.________. Avec la première juge, il y a lieu d’admettre une légère diminution de responsabilité en lien avec l’état d’alcoolisation de l’intéressé au moment des faits. Cela signifie que la culpabilité passe de très lourde à lourde. En effet, l’alcool, s’il désinhibe, n’est pas la cause du comportement adopté. Contrairement à ce que l’appelant soutient, ce n’est que dans une mesure toute relative que sa collaboration et sa prise de conscience doivent être retenues à décharge, en raison des motifs détaillés développés en page 18 du jugement de première instance, étant de surcroît rappelé que P.________ n’a comparu ni en première, ni en seconde instance. Quant à l’effet de la peine sur son avenir, il ne saurait faire obstacle au prononcé d’une peine privative de liberté ferme, puisque P.________ a déjà été condamné pour injure et menaces, ainsi que pour des actes de violence avec usage ou menace d’une arme, sans que les peines pécuniaires précédemment prononcées aient eu d’effet sur lui, ni les peines de quatre et huit mois d’emprisonnement avec sursis prononcées par les autorités françaises. Partant, c’est une peine privative de liberté</w:t>
      </w:r>
    </w:p>
    <w:p>
      <w:r>
        <w:t>- 15 - qui s’impose pour réprimer les lésions corporelles simples (art. 123 CP) ; une peine pécuniaire sanctionnera l’infraction d’injure, seul type de peine envisageable selon l’art. 177 CP. S’agissant de la quotité de la peine pécuniaire, il y a lieu de tenir compte de sa complémentarité à la peine pécuniaire infligée le 20 juillet 2023 par le Ministère public de l’arrondissement de l’Est vaudois (art. 49 al. 2 CP). Au vu de tous ces éléments, les lésions corporelles simples justifient une peine privative de liberté de 170 jours et les injures une peine pécuniaire de 5 jours-amende. Le montant du jour-amende sera fixé à 30 fr. compte tenu de la capacité financière de l’appelant, aucun élément ne justifiant d’aller en deçà de ce montant (cf. art. 34 al. 2 2e phrase). Les peines fixées par le tribunal de police sont ainsi adéquates et doivent être confirmées. La détention subie avant jugement sera déduite de la peine prononcée (art. 51 CP). Les peines seront fermes, le pronostic quant au comportement futur de l’appelant étant indéniablement défavorable. Outre les nombreuses condamnations pénales de l’intéressé, manifestement restées sans effet, on constate que la prise de conscience et les volontés de soins et de réparation du dommage de la victime mises en avant par P.________ restent balbutiantes puisque, deux ans après les faits, elles ne semblent toujours pas avoir fait l’objet d’un début de concrétisation. En effet, une déclaration de l’intéressé du 7 octobre 2024 (P. 86/8) indique qu’il n’a pas encore dédommagé I.________ et l’attestation de la psychologue [...], non datée mais produite à l’audience d’appel (P. 86/9), indique que l’appelant n’a pas concrètement débuté de psychothérapie.</w:t>
      </w:r>
    </w:p>
    <w:p>
      <w:r>
        <w:rPr>
          <w:b/>
        </w:rPr>
        <w:t>E. 4</w:t>
      </w:r>
    </w:p>
    <w:p>
      <w:r>
        <w:t>En définitive, l'appel de P.________ doit être rejeté et le jugement entrepris confirmé. Au vu de la liste des opérations produite par Me Laïla Batou, défenseure d’office de l’appelant, il convient de retrancher les deux heures relatives au déplacement du 9 octobre 2024 pour l’audience d’appel et de tenir compte du temps effectif de celle-ci, à raison de quinze</w:t>
      </w:r>
    </w:p>
    <w:p>
      <w:r>
        <w:t>- 16 - minutes, pour un total de 6 heures 50 d’activité.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1’230 francs. S’y ajoutent 2% pour les débours (art. 3bis RAJ par renvoi de l’art. 26b TFIP), soit 24 fr. 60, une vacation à 120 fr. et 8.1% de TVA sur le tout, de sorte que l’indemnité d’office pour la procédure d’appel s’élève au total à 1’485 fr. 95. Vu l’issue de la cause, les frais de la procédure d’appel, par 3'095 fr. 95, constitués des émoluments de jugement et d’audience, par 1’610 fr. (art. 21 al. 1 et 2 TFIP), ainsi que de l’indemnité précitée, sont mis à la charge de P.________, qui succombe (art. 428 al. 1, 1re phrase, CPP). L’appelant ne sera tenu de rembourser à l’Etat l’indemnité allouée à sa défenseure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