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PE22.022222 vom 6. Mai 2024</w:t>
      </w:r>
    </w:p>
    <w:p>
      <w:r>
        <w:t>VD Tribunal cantonal, 2024-05-06, FR</w:t>
      </w:r>
    </w:p>
    <w:p>
      <w:r>
        <w:rPr>
          <w:b/>
        </w:rPr>
        <w:t xml:space="preserve">Quelle: </w:t>
      </w:r>
      <w:r>
        <w:t>https://mcp.opencaselaw.ch/entscheid/vd_gerichte_PE22.022222</w:t>
      </w:r>
    </w:p>
    <w:p>
      <w:r>
        <w:t>FR: VD_GERICHTE PE22.022222 du 6 mai 2024</w:t>
      </w:r>
    </w:p>
    <w:p>
      <w:r>
        <w:t>IT: VD_GERICHTE PE22.022222 del 6 maggio 2024</w:t>
      </w:r>
    </w:p>
    <w:p>
      <w:pPr>
        <w:pStyle w:val="Heading2"/>
      </w:pPr>
      <w:r>
        <w:t>Erwägungen</w:t>
      </w:r>
    </w:p>
    <w:p>
      <w:r>
        <w:rPr>
          <w:b/>
        </w:rPr>
        <w:t>E. 3</w:t>
      </w:r>
    </w:p>
    <w:p>
      <w:r>
        <w:t>En définitive, il résulte de ce qui précède que le recours doit être rejeté et l’ordonnance entreprise confirmée. Compte tenu de la nature de l’affaire et de l’acte de recours déposé, l’indemnité allouée au défenseur d’office du recourant, Me Yvan Gisling, sera fixée à 540 fr., correspondant à 3 heures d’activité nécessaire d’avocat,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10 fr. 80, et la TVA par 44 fr. 60, le tout arrondi au franc supérieur, soit à 596 fr. au total. Compte tenu des déterminations déposées, les indemnités des défenseurs d’office des coprévenus seront fixées quant à elles à 30 minutes d’activité nécessaire d’avocat au tarif horaire de 180 fr., soit 90 fr., auquel il convient d’ajouter 2 % de débours, par 1 fr. 80, et la TV par 7 fr. 44, soit un total arrondi de 100 fr. chacun. Vu le sort du recours, les frais de la procédure par 2'326 fr., constitués de l’émolument d’arrêt, par 1’430 fr. (art. 20 al. 1 TFIP), et des indemnités dues aux défenseurs d’office, d’un montant total de 896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- 14 - Par ces motifs, la Chambre des recours pénale prononce : I. Le recours est rejeté. II. L’ordonnance du 21 mars 2024 est confirmée. III. L’indemnité allouée au défenseur d’office d’L.________ est fixée à 596 fr. (cinq cent nonante-six francs), TVA et débours compris. IV. L’indemnité allouée au défenseur d’office d’O.________ est fixée à 100 fr. (cent francs), TVA et débours compris. V. L’indemnité allouée au défenseur d’office d’W.________ est fixée à 100 fr. (cent francs), TVA et débours compris. VI. L’indemnité allouée au défenseur d’office de C.________ est fixée à 100 fr. (cent francs), TVA et débours compris. VII. Les frais d’arrêt, par 1'430 fr. (mille quatre cent trente francs), ainsi que les indemnités dues aux défenseurs d’office, par 896 fr. (huit cent nonante-six francs) au total, sont mises à la charge d’L.________. VIII. Le remboursement à l’Etat de l’indemnité allouée au chiffre III ci-dessus sera exigible dès que la situation financière d’L.________ le permettra. IX. L’arrêt est exécutoire. Le président : La greffière : Du Le présent arrêt, dont la rédaction a été approuvée à huis clos, est notifié, par l'envoi d'une copie complète, à : - Me Yvan Gisling (pour L.________),</w:t>
      </w:r>
    </w:p>
    <w:p>
      <w:r>
        <w:t>- 15 - - Me Estelle Lang (pour O.________), - Me Mathilde Bessonnet (pour W.________), - Me Laurent Mösching (pour C.________),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