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PE22.022198 vom 21. Februar 2023</w:t>
      </w:r>
    </w:p>
    <w:p>
      <w:r>
        <w:t>VD Tribunal cantonal, 2023-02-21, FR</w:t>
      </w:r>
    </w:p>
    <w:p>
      <w:r>
        <w:rPr>
          <w:b/>
        </w:rPr>
        <w:t xml:space="preserve">Quelle: </w:t>
      </w:r>
      <w:r>
        <w:t>https://mcp.opencaselaw.ch/entscheid/vd_gerichte_PE22.022198</w:t>
      </w:r>
    </w:p>
    <w:p>
      <w:r>
        <w:t>FR: VD_GERICHTE PE22.022198 du 21 février 2023</w:t>
      </w:r>
    </w:p>
    <w:p>
      <w:r>
        <w:t>IT: VD_GERICHTE PE22.022198 del 21 febbraio 2023</w:t>
      </w:r>
    </w:p>
    <w:p>
      <w:pPr>
        <w:pStyle w:val="Heading2"/>
      </w:pPr>
      <w:r>
        <w:t>Erwägungen</w:t>
      </w:r>
    </w:p>
    <w:p>
      <w:r>
        <w:rPr>
          <w:b/>
        </w:rPr>
        <w:t>E. 1</w:t>
      </w:r>
    </w:p>
    <w:p>
      <w:r>
        <w:t>Le recourant demande la récusation de la Chambre des recours pénale à qui il reproche de « soutenir un harcèlement attentatoire au sein de délits massifs auxquels [il] a été confronté dans l’exercice de fonction » (sic).</w:t>
      </w:r>
    </w:p>
    <w:p>
      <w:r>
        <w:rPr>
          <w:b/>
        </w:rPr>
        <w:t>E. 1.1</w:t>
      </w:r>
    </w:p>
    <w:p>
      <w:r>
        <w:t>Les principes régissant la récusation au sens des art. 56 ss CPP (Code de procédure pénale suisse du 5 octobre 2007 ; RS 312.0) ont déjà été énoncés à l’intéressé dans les arrêts rendus par la Chambre de céans les 20 avril 2021 (n° 340), 6 septembre 2021 (n° 821) et 24 mai 2022 (n° 367) à la suite de recours formés par N.________ dans d’autres procédures.</w:t>
      </w:r>
    </w:p>
    <w:p>
      <w:r>
        <w:t>- 3 - Il n’est pas nécessaire de les rappeler et on peut renvoyer intégralement à ces arrêts.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et les arrêts cités ; TF 6B_615/2021 du 2 juillet 2021 consid. 3).</w:t>
      </w:r>
    </w:p>
    <w:p>
      <w:r>
        <w:rPr>
          <w:b/>
        </w:rPr>
        <w:t>E. 1.2</w:t>
      </w:r>
    </w:p>
    <w:p>
      <w:r>
        <w:t>En l’espèce, dans deux arrêts qu’elle a rendus les 6 septembre 2021 (n° 821) et 12 novembre 2021 (n° 1034), la Chambre des recours pénale a déjà déclaré irrecevables des demandes de récusation formées à son encontre par N.________ Comme elle l’a indiqué dans ces arrêts, le fait qu’elle ait pu, par le passé, rendre des arrêts en défaveur de l’intéressé ne permet pas de fonder un motif de récusation (CREP 6 septembre 2021/821 consid. 2.1 ; ATF 143 IV 69 consid. 3.1 ; TF 1B_290/2020 et 1B_311/2020 du 4 août 2020 consid. 2.6). Au vu de ce qui précède, cette nouvelle demande de récusation, non étayée et manifestement abusive, est irrecevable. La Chambre des recours pénale peut donc statuer sur le recours formé par N.________.</w:t>
      </w:r>
    </w:p>
    <w:p>
      <w:r>
        <w:rPr>
          <w:b/>
        </w:rPr>
        <w:t>E. 2.1</w:t>
      </w:r>
    </w:p>
    <w:p>
      <w:r>
        <w:t>Aux termes de l’art. 393 al. 1 let. a CPP, le recours est recevable contre les décisions et les actes de procédure du Ministère public. Le recours doit être interjeté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- 4 -</w:t>
      </w:r>
    </w:p>
    <w:p>
      <w:r>
        <w:rPr>
          <w:b/>
        </w:rPr>
        <w:t>E. 2.2</w:t>
      </w:r>
    </w:p>
    <w:p>
      <w:r>
        <w:t>Les exigences de motivation du recours (art. 385 CPP) ont déjà été énoncées dans plusieurs arrêts rendus par la Chambre de céans à la suite de recours formés par N.________ dans d’autres procédures (cf. CREP</w:t>
      </w:r>
    </w:p>
    <w:p>
      <w:r>
        <w:rPr>
          <w:b/>
        </w:rPr>
        <w:t>E. 2.3</w:t>
      </w:r>
    </w:p>
    <w:p>
      <w:r>
        <w:t>En l’espèce, N.________ ne développe aucun grief à l’appui de son recours et se contente de soutenir que l’avis de transmission litigieux serait constitutif d’un « déni de justice dans une violation concomitante des art. 30 al. 1 Cst, 29 al. 1 Cst et 6 al. 1 CEDH ». Il n’indique en particulier pas en quoi les règles des art. 31 à 38 CPP régissant le for aussi bien intercantonal qu’intracantonal auraient été violées. Manifestement, les réquisits de l’art. 385 al. 1 CPP ne sont pas respectés. L’art. 385 al. 2 CPP ne saurait trouver application, d’autant moins que le recourant n’ignore pas les exigences de motivation, ses précédents recours ayant déjà été écartés pour ce motif (cf. CREP 6 septembre 2021/821 ; CREP 7 octobre 2021/991 ; CREP 2 novembre 2021/997 ; CREP 10 novembre 2021/1030 ; CREP 12 novembre 2021/1034). Pour le surplus, dans la mesure où la décision entreprise ne concernait pas cette question, la conclusion du recourant tendant à la désignation d’un procureur extraordinaire est irrecevable. 3. Au vu de ce qui précède, tant la demande de récusation que le recours doivent être déclarés irrecevables. Les frais de procédure, constitués en l’espèce du seul émolument d’arrêt (art. 422 al. 1 CPP), par 550 fr. (art. 20 al. 1 TFIP [Tarif</w:t>
      </w:r>
    </w:p>
    <w:p>
      <w:r>
        <w:t>- 5 - des frais de procédure et indemnités en matière pénale du 28 septembre 2010 ; BLV 312.03.1]), seront mis à la charge du recourant, qui doit être considéré comme ayant succombé (art. 59 al. 4 et 428 al. 1 CPP). Par ces motifs, la Chambre des recours pénale prononce : I. La demande de récusation est irrecevable. II. Le recours est irrecevable. III. Les frais d’arrêt, par 550 fr. (cinq cent cinquante francs), sont mis à la charge de N.________. IV. L’arrêt est exécutoire. Le vice-président : La greffière : Du Le présent arrêt, dont la rédaction a été approuvée à huis clos, est notifié, par l'envoi d'une copie complète, à : - Service des curatelles et tutelles professionnelles (pour N.________), - Ministère public central, et communiqué à : ‑ M. N.________, - M. le Procureur de l’arrondissement de Lausanne, par l’envoi de photocopies. Le présent arrêt peut faire l'objet d'un recours en matière pénale devant le Tribunal fédéral au sens des art. 78 ss LTF (Loi du 17 juin</w:t>
      </w:r>
    </w:p>
    <w:p>
      <w:r>
        <w:t>- 6 - 2005 sur le Tribunal fédéral ; RS 173.110). Ce recours doit être déposé devant le Tribunal fédéral dans les trente jours qui suivent la notification de l'expédition complète (art. 100 al. 1 LTF). La greffière :</w:t>
      </w:r>
    </w:p>
    <w:p>
      <w:r>
        <w:rPr>
          <w:b/>
        </w:rPr>
        <w:t>E. 6</w:t>
      </w:r>
    </w:p>
    <w:p>
      <w:r>
        <w:t>septembre 2021/821 ; CREP 7 octobre 2021/991 ; CREP 2 novembre 2021/997 ; CREP 10 novembre 2021/1030 ; CREP 12 novembre 2021/1034). On peut renvoyer à ces arrêts, en rappelant que le recourant doit en particulier préciser les points de la décision qu’il attaque, les motifs qui commandent une autre décision ainsi que les moyens de preuve qu’il invoque (art. 385 al. 1 let. a à c CPP) et qu’il ne saurait se contenter d’une contestation générale ni renvoyer à une écriture ou aux pièces qu’il a déposées devant l’instance précédente. On rappellera également que l’art. 385 al. 2 CPP, qui prévoit qu’un mémoire peut être renvoyé pour être complété, ne permet pas de suppléer un défaut de motivation.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