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PE22.022056 vom 1. September 2023</w:t>
      </w:r>
    </w:p>
    <w:p>
      <w:r>
        <w:t>VD Tribunal cantonal, 2023-09-01, FR</w:t>
      </w:r>
    </w:p>
    <w:p>
      <w:r>
        <w:rPr>
          <w:b/>
        </w:rPr>
        <w:t xml:space="preserve">Quelle: </w:t>
      </w:r>
      <w:r>
        <w:t>https://mcp.opencaselaw.ch/entscheid/vd_gerichte_PE22.022056</w:t>
      </w:r>
    </w:p>
    <w:p>
      <w:r>
        <w:t>FR: VD_GERICHTE PE22.022056 du 1 septembre 2023</w:t>
      </w:r>
    </w:p>
    <w:p>
      <w:r>
        <w:t>IT: VD_GERICHTE PE22.022056 del 1 settembre 2023</w:t>
      </w:r>
    </w:p>
    <w:p>
      <w:pPr>
        <w:pStyle w:val="Heading2"/>
      </w:pPr>
      <w:r>
        <w:t>Erwägungen</w:t>
      </w:r>
    </w:p>
    <w:p>
      <w:r>
        <w:rPr>
          <w:b/>
        </w:rPr>
        <w:t>E. 1.1</w:t>
      </w:r>
    </w:p>
    <w:p>
      <w:r>
        <w:t>Aux termes de l’art. 393 al. 1 let. c CPP (Code de procédure pénale suisse du 5 octobre 2007 ; RS 312.0), le recours est recevable contre les décisions du Tribunal des mesures de contrainte dans les cas prévus par le code.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provisoire</w:t>
      </w:r>
    </w:p>
    <w:p>
      <w:r>
        <w:t>- 5 - (CREP 18 juillet 2023/562 consid. 1.1 ; CREP 1er juin 2023/439 consid. 1.1 ; CREP 2 mars 2023/156 consid. 1.1).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dans le délai légal par un détenu qui a qualité pour recourir (art. 222 et 382 al. 1 CPP) et dans les formes prescrites (art. 385 al. 1 CPP), le recours est recevable.</w:t>
      </w:r>
    </w:p>
    <w:p>
      <w:r>
        <w:rPr>
          <w:b/>
        </w:rPr>
        <w:t>E. 2.1</w:t>
      </w:r>
    </w:p>
    <w:p>
      <w:r>
        <w:t>En vertu de l’art. 228 al. 1 CPP, le prévenu peut présenter en tout temps une demande de libération de la détention provisoire. Cette demande doit être admise si les conditions de la détention provisoire ne sont pas ou plus remplies.</w:t>
      </w:r>
    </w:p>
    <w:p>
      <w:r>
        <w:rPr>
          <w:b/>
        </w:rPr>
        <w:t>E. 2.2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Aux termes de l’art. 221 al. 2 CPP, la détention peut en outre être ordonnée s’il y a sérieusement lieu de craindre qu’une personne passe à l’acte après avoir menacé de commettre un crime grave.</w:t>
      </w:r>
    </w:p>
    <w:p>
      <w:r>
        <w:t>- 6 -</w:t>
      </w:r>
    </w:p>
    <w:p>
      <w:r>
        <w:rPr>
          <w:b/>
        </w:rPr>
        <w:t>E. 3.1</w:t>
      </w:r>
    </w:p>
    <w:p>
      <w:r>
        <w:t>Le recourant ne conteste plus, à juste titre, l’existence de soupçons suffisants de commission d’un crime ou d’un délit. Cette condition est en effet réalisée puisqu’il a été interpellé en flagrant délit, qu’il a admis être allé dans tellement de caves qu’il lui était difficile de se souvenir lesquelles exactement et qu’il est mis en cause par des images de vidéosurveillance, des correspondances ADN et par un témoin notamment. Il conteste en revanche tout risque de fuite, de collusion et de réitération. S’agissant du risque de fuite, il fait valoir que ses attaches se trouveraient aujourd’hui en Suisse, où sa compagne et leurs deux enfants en bas âge résideraient. Il souligne qu’il aurait déjà travaillé en Suisse par le passé, précisant avoir mis un terme à son activité pour s’occuper de son fils, sa compagne assumant entièrement l’entretien de la famille, et soutient qu’il serait déterminé à reprendre une activité professionnelle à sa libération, ce qui serait facilité par le fait que les enfants du couple fréquenteraient désormais une garderie à plein temps. Il fait par ailleurs valoir qu’il n’entretiendrait que des liens très ténus avec sa famille en France, les échanges avec son père n’ayant commencé que depuis son incarcération et les contacts avec sa mère et sa sœur étant quasiment inexistants. Enfin, il relève qu’il n’aurait jamais envisagé de prendre la fuite, alors même qu’une instruction pour escroquerie et pornographie avait été ouverte à son encontre avant que les autorités aient connaissance des cambriolages qui lui sont maintenant reprochés.</w:t>
      </w:r>
    </w:p>
    <w:p>
      <w:r>
        <w:rPr>
          <w:b/>
        </w:rPr>
        <w:t>E. 3.2</w:t>
      </w:r>
    </w:p>
    <w:p>
      <w:r>
        <w:t>Conformément à l'art. 221 al. 1 let. a CPP, la détention provisoire ou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w:t>
      </w:r>
    </w:p>
    <w:p>
      <w:r>
        <w:t>- 7 -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145 IV 503 consid. 2.2 ; ATF 143 IV 160 consid. 4.3, JdT 2018 IV 3 ; TF 1B_291/2023 du 16 juin 2023 consid. 5.1). Le risque de fuite s'étend également au risque de se soustraire à la procédure pénale ou à la sanction prévisible en tombant dans la clandestinité à l'intérieur du pays (ATF 143 IV 160 précité ; TF 1B_549/2020 du 9 novembre 2020 consid. 3.1).</w:t>
      </w:r>
    </w:p>
    <w:p>
      <w:r>
        <w:rPr>
          <w:b/>
        </w:rPr>
        <w:t>E. 3.3</w:t>
      </w:r>
    </w:p>
    <w:p>
      <w:r>
        <w:t>En l’espèce, même si le recourant, de nationalité française, réside en Suisse au bénéfice d’un permis de séjour et est père de deux enfants, qui vivent également en Suisse, son intégration dans ce pays est faible, dès lors qu’il n’y a ni travail, ni revenus, ni cercle social. L’entretien de sa famille dépendant uniquement de sa compagne et la garde des enfants étant assurée à plein temps, il est ainsi sérieusement à craindre qu’il prenne la fuite pour la France, pays qui n’extrade pas ses ressortissants et dont les frontières terrestres sont aisées à franchir, et d’où il pourrait aisément entretenir des contacts réguliers avec les siens, étant au demeurant relevé que sa compagne est elle aussi de nationalité française. Ses parents et sa sœur vivent en outre en France, ce qui pourrait manifestement faciliter sa réintégration dans son pays d’origine. Quant aux déclarations du recourant et de sa compagne, selon lesquelles ils n’auraient quasiment aucun contact avec ces derniers, elles ne sont étayées par aucun élément concret, les lettres au dossier démontrant au contraire que la famille du recourant se soucie de son sort. Par ailleurs, s’il peut être donné acte au recourant qu’il n’a pas fui lorsque la première enquête a été ouverte à son encontre, force est de constater que les faits qui lui sont reprochés ont pris de l’ampleur et qu’il encourt désormais, même si des vérifications doivent encore être menées, une peine conséquente. Il ne peut dès lors se prévaloir de ne pas avoir fui avant que les charges à son encontre s’alourdissent considérablement, la peine désormais encourue rendant la tentation de s’y soustraire beaucoup plus concrète.</w:t>
      </w:r>
    </w:p>
    <w:p>
      <w:r>
        <w:t>- 8 - Partant, c’est à juste titre que le Tribunal des mesures de contrainte a considéré que le risque de fuite était concret.</w:t>
      </w:r>
    </w:p>
    <w:p>
      <w:r>
        <w:rPr>
          <w:b/>
        </w:rPr>
        <w:t>E. 3.4</w:t>
      </w:r>
    </w:p>
    <w:p>
      <w:r>
        <w:t>Les hypothèses prévues par l'art. 221 al. 1 CPP étant alternatives et non cumulatives (TF 1B_192/2022 du 12 mai 2022 consid. 4.1.2 ; TF 1B_195/2022 du 3 mai 2022 consid. 2.2.1), l’existence d’un risque de fuite suffit à justifier le maintien en détention provisoire du recourant et dispense la Chambre de céans d’examiner les arguments relatifs aux risques de collusion et de réitération, certes invoqué par le Ministère public s’agissant du risque de réitération, mais non examinés par le Tribunal des mesures de contrainte.</w:t>
      </w:r>
    </w:p>
    <w:p>
      <w:r>
        <w:rPr>
          <w:b/>
        </w:rPr>
        <w:t>E. 4.1</w:t>
      </w:r>
    </w:p>
    <w:p>
      <w:r>
        <w:t>Le recourant soutient, dans sa conclusion subsidiaire, que des mesures de substitution à forme de l’obligation de déposer ses documents d’identité et de se présenter à un poste de police de manière régulière, voire de faire l’objet d’une surveillance électronique, seraient à même d’empêcher la concrétisation du risque de fuite retenu. Il soutient à cet égard que rien ne permettrait de retenir qu’il ne respecterait pas de telles obligations.</w:t>
      </w:r>
    </w:p>
    <w:p>
      <w:r>
        <w:rPr>
          <w:b/>
        </w:rPr>
        <w:t>E. 4.2.1</w:t>
      </w:r>
    </w:p>
    <w:p>
      <w:r>
        <w:t>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w:t>
      </w:r>
    </w:p>
    <w:p>
      <w:r>
        <w:t>- 9 -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CR CPP, op. cit., n. 2 ad art. 237 CPP). Le juge de la détention peut également, le cas échéant, assortir les mesures de substitution de toute condition propre à en garantir l’efficacité (ATF 145 IV 503 consid. 3.1).</w:t>
      </w:r>
    </w:p>
    <w:p>
      <w:r>
        <w:rPr>
          <w:b/>
        </w:rPr>
        <w:t>E. 4.2.2</w:t>
      </w:r>
    </w:p>
    <w:p>
      <w:r>
        <w:t>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Le juge peut dès lors maintenir la détention provisoire aussi longtemps qu'elle n'est pas très proche de la durée de la peine privative de liberté à laquelle il faut s'attendre concrètement en cas de condamnation (ATF 145 IV 179 consid. 3.1 ; ATF 143 IV 168 consid. 5.1 ; ATF 139 IV 270 précité).</w:t>
      </w:r>
    </w:p>
    <w:p>
      <w:r>
        <w:rPr>
          <w:b/>
        </w:rPr>
        <w:t>E. 4.3</w:t>
      </w:r>
    </w:p>
    <w:p>
      <w:r>
        <w:t>En l’espèce, les mesures de substitution proposées par le recourant ne sont pas susceptibles de prévenir efficacement le risque de fuite retenu et force est de constater qu’aucune autre mesure n’est à même de le pallier valablement. En effet, compte tenu de la probabilité que le recourant cherche à se soustraire à la justice, il faut considérer,</w:t>
      </w:r>
    </w:p>
    <w:p>
      <w:r>
        <w:t>- 10 - avec la jurisprudence constante du Tribunal fédéral, que le dépôt de ses documents d'identité, même assorti d’une assignation à résidence combinée avec une mesure de surveillance électronique, ou encore l’obligation de se présenter à un service administratif, n’est pas suffisamment efficace pour prévenir un risque sérieux de départ à l’étranger ou de disparition dans la clandestinité (ATF 145 IV 503 précité consid. 3.3.1 ; TF 1B_228/2022 du 20 mai 2022 consid. 5.2 ; TF 1B_66/2022 du 28 février 2022 consid. 4.1 ; TF 1B_158/2021 du 20 avril 2021 consid. 3.5), ce d’autant moins que la frontière terrestre avec la France est aisément franchissable sans document d’identité et que le recourant dispose de la nationalité de ce pays, qui pourrait lui délivrer de nouvelles pièces au besoin. Il n’y a pour le reste pas lieu d’examiner les mesures de substitution proposées par le recourant à forme de l’obligation de se soumettre à un suivi psychologique et de l’interdiction de prendre contact avec les personnes qui pourraient être impliquées dans la présente affaire, qui tendent à pallier les risques de réitération et de collusion, qui n’ont pas été examinés par la Chambre de céans. Pour le surplus, il y a lieu de relever que le recourant encourt concrètement, au regard de la pluralité et de la gravité des infractions envisagées, une peine d’une durée supérieure à la période de détention provisoire qu’il a subie à ce jour, respectivement qu’il aura subie le 19 octobre 2023. Le principe de la proportionnalité demeure donc respecté (art. 212 al. 3 CPP ; ATF 143 IV 168 précité). Cette durée est en outre justifiée pour permettre à la police de mettre en œuvre, le cas échéant, les mesures d’instruction induites par la récente audition d’U.________, puis de rendre son rapport d’investigation, et au Ministère public de procéder à l’audition récapitulative du prévenu et d’effectuer les opérations de clôture.</w:t>
      </w:r>
    </w:p>
    <w:p>
      <w:r>
        <w:rPr>
          <w:b/>
        </w:rPr>
        <w:t>E. 5</w:t>
      </w:r>
    </w:p>
    <w:p>
      <w:r>
        <w:t>En définitive, le recours, manifestement mal fondé, doit être rejeté sans échange d’écritures (art. 390 al. 2 CPP) et l’ordonnance entreprise confirmée.</w:t>
      </w:r>
    </w:p>
    <w:p>
      <w:r>
        <w:t>- 11 - Compte tenu de la nature de l’affaire et de l’acte de recours déposé, l’indemnité allouée au défenseur d’office de C.________ sera fixée à 540 fr., correspondant à une activité nécessaire d’avocat de trois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10 fr. 80, plus la TVA au taux de 7,7 %, par 42 fr. 40, soit à 594 fr. au total en chiffres arrondis. Vu le sort du recours, les frais de la procédure, constitués en l’espèce de l’émolument d'arrêt, par 1’100 fr. (art. 20 al. 1 TFIP), et des frais imputables à la défense d’office de C.________ (art. 422 al. 1 et 2 let. a CPP), fixés à 594 fr., seront mis à la charge du recourant, qui succombe (art. 428 al. 1 CPP). Le remboursement à l’Etat de l’indemnité allouée au défenseur d’office du recourant ne sera toutefois exigible que pour autant que la situation financière de celui-ci le permette (art. 135 al. 4 CPP). Par ces motifs, la Chambre des recours pénale prononce : I. Le recours est rejeté. II. L’ordonnance du 16 août 2023 est confirmée. III. L’indemnité allouée au défenseur d’office de C.________ est fixée à 594 fr. (cinq cent nonante-quatre francs). IV. Les frais d’arrêt, par 1’100 fr. (mille cent francs), ainsi que l’indemnité due au défenseur d’office du recourant, par 594 fr. (cinq cent nonante-quatre francs), sont mis à la charge de C.________.</w:t>
      </w:r>
    </w:p>
    <w:p>
      <w:r>
        <w:t>- 12 - V. Le remboursement à l’Etat de l’indemnité allouée au chiffre III ci-dessus ne sera exigible que pour autant que la situation financière de C.________ le permette. VI. L’arrêt est exécutoire. La présidente : La greffière : Du Le présent arrêt, dont la rédaction a été approuvée à huis clos, est notifié, par l'envoi d'une copie complète, à : - Me Charlotte Iselin, avocate (pour C.________), - Ministère public central, et communiqué à : - Mme la Présidente du Tribunal des mesures de contrainte, - M. le Procureur de l’arrondissement de La Côte,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w:t>
      </w:r>
    </w:p>
    <w:p>
      <w:r>
        <w:t>- 13 - des art. 393 ss CPP devant le Tribunal pénal fédéral (art. 37 al. 1 et 39 al. 1 LOAP [loi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