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PE22.022014 vom 30. September 2024</w:t>
      </w:r>
    </w:p>
    <w:p>
      <w:r>
        <w:t>VD Tribunal cantonal, 2024-09-30, FR</w:t>
      </w:r>
    </w:p>
    <w:p>
      <w:r>
        <w:rPr>
          <w:b/>
        </w:rPr>
        <w:t xml:space="preserve">Quelle: </w:t>
      </w:r>
      <w:r>
        <w:t>https://mcp.opencaselaw.ch/entscheid/vd_gerichte_PE22.022014</w:t>
      </w:r>
    </w:p>
    <w:p>
      <w:r>
        <w:t>FR: VD_GERICHTE PE22.022014 du 30 septembre 2024</w:t>
      </w:r>
    </w:p>
    <w:p>
      <w:r>
        <w:t>IT: VD_GERICHTE PE22.022014 del 30 settembre 2024</w:t>
      </w:r>
    </w:p>
    <w:p>
      <w:pPr>
        <w:pStyle w:val="Heading2"/>
      </w:pPr>
      <w:r>
        <w:t>Erwägungen</w:t>
      </w:r>
    </w:p>
    <w:p>
      <w:r>
        <w:rPr>
          <w:b/>
        </w:rPr>
        <w:t>E. 3</w:t>
      </w:r>
    </w:p>
    <w:p>
      <w:r>
        <w:t>dermabrasions d’environ 1 mm avec croûtes fraîches et rouges au niveau de la paupière supérieure, deux lésions d’environ 2 mm avec saignement tari au niveau de la bouche et plusieurs dermabrasions au niveau du haut des seins, verticales et d’allure nouvelle, un hématome et une tuméfaction importante au niveau de l’avant-bras droit. B.G.________ a été en arrêt de travail complet du 24 octobre au 15 novembre 2022 (P. 31 et 47/1). A.G.________ n’a pour sa part produit aucun certificat médical et n’a pas reçu de soins. Contrairement à ce que soutiennent A.G.________ et B.G.________, les blessures subies par cette dernière sont moins importantes que celles d’I.________. En effet, à l’exception de la lésion à l’avant-bras droit, les blessures de B.G.________ étaient uniquement superficielles, alors qu’I.________ a notamment souffert d’un traumatisme crânien, d’une entorse à deux doigts et de contusions à de nombreux endroits de son corps. Cette dernière a en outre présenté plusieurs pertes de contact de quelques secondes durant le trajet en ambulance (P. 77/13). La différence de gravité des blessures est encore plus flagrante chez les</w:t>
      </w:r>
    </w:p>
    <w:p>
      <w:r>
        <w:t>- 26 - protagonistes masculins, puisqu’en dehors d’éraflures à la main droite (P. 32), A.G.________ est ressorti indemne de l’altercation, alors qu’U.________ avait le visage en sang. Lors des débats de première instance, A.G.________ a d’ailleurs fini par reconnaître avoir frappé U.________, lui a présenté ses excuses et a accepté de lui verser un montant de 500 fr. à titre de réparation morale (Jugement entrepris, pp. 11 à 16). Ces éléments confirment que c’était bien le couple G.________ qui occupait le rôle des agresseurs. Les déclarations de [...] et [...], qui concordent dans une large mesure, viennent conforter ce constat. En effet, ils ont tous deux déclaré que durant le trajet pour aller à la gare de [...] A.G.________ avait dit à B.G.________ qu’il allait frapper I.________, qu’une fois sur place A.G.________ avait frappé I.________ et qu’il avait également donné un coup de poing à U.________. [...] et [...] ont précisé que A.G.________ les avait enfermés dans la voiture et, lorsqu’ils avaient réussi à en sortir, il leur avait crié de rentrer dans la voiture les menaçant de les frapper à leur tour (P. 5/1 et 5/2). [...] a également déclaré que B.G.________ avait aussi donné des coups à I.________ et que A.G.________ avait arraché la bague de cette dernière. L’aliénation parentale invoquée par A.G.________ et B.G.________ n’est établie par aucun élément au dossier. On relève d’ailleurs que [...] a déclaré qu’il n’avait pas le droit d’avoir de la colère contre son père « car c’est son père », ce qui n’est pas caractéristique d’une situation d’aliénation parentale. En outre, les enfants ont été auditionnés rapidement après les faits. L’influence de la mère n’est guère plausible. Il n’y a ainsi pas lieu de mettre en doute la crédibilité des deux enfants. Les propos tenus par A.G.________ durant le trajet en voiture est révélateur de l’état d’animosité de ce prévenu. On relèvera encore qu’I.________ était enceinte au moment des faits. Il est donc peu probable qu’elle ait cherché à initier une confrontation physique. C’est bien cette dernière et U.________ qui ont appelé la police, ce qui plaide en faveur d’une position d’assaillis et non d’assaillants lors de l’altercation.</w:t>
      </w:r>
    </w:p>
    <w:p>
      <w:r>
        <w:t>- 27 - Au vu des éléments qui précèdent, c’est à bon droit que le premier juge a conclu que l’état d’esprit des époux G.________ n’était pas à l’apaisement mais à la confrontation et qu’il a retenu que ceux-ci occupaient le rôle des assaillants dans l’altercation. Les évènements se sont effectivement déroulés en deux phases distinctes. Dans un premier temps, l’altercation a uniquement opposé B.G.________ et I.________. Les blessures que B.G.________ a subies et les dégâts causés à sa robe attestent qu’I.________ était une participante active durant cette phase, contrairement à ce qu’elle soutient. Les deux femmes se sont ainsi mutuellement échangé des coups. Au regard du contexte, il n’y a pas lieu de douter que des injures ont également été échangées. Ce n’est que dans un second temps que A.G.________ est venu prêter main forte à son épouse et qu’il y a lieu de qualifier les faits d’agression. Les deux femmes s’étant injuriées et frappées réciproquement lors de la première phase, on ne peut parler d’attaque et de défense dans leurs actions. I.________ ne peut donc se prévaloir d’un état de légitime défense ou de défense excusable. Les déclarations d’I.________ selon lesquelles A.G.________ lui a arraché de force et s’est approprié sa bague de fiançailles sont pour leur part confirmées par les blessures qu’elle a subies aux doigts 4 et 5 de la main gauche. Ces faits doivent donc être tenus pour établis. I.________ a également déclaré de façon constante que A.G.________ avait proféré des menaces à son encontre durant l’altercation (PV aud. 4, 8 et 9). Ces accusations sont crédibles au vu de la relation houleuse qu’ils entretiennent et du fort ressentiment que A.G.________ apparaît nourrir à l’égard de son ancienne compagne, qui transparaît dans ses déclarations dans le cadre de la présente procédure et de la procédure civile ouverte à Genève ainsi que dans les propos rapportés par [...] et [...] (P. 5/1 et 5/2 ; jugement entrepris, p. 11 et 26). S’agissant des dommages causés au véhicule d’I.________, celle-ci a déclaré que A.G.________ avait arraché la poignée côté passager, donné un coup de poing dans le rétroviseur de ce même côté et cassé les</w:t>
      </w:r>
    </w:p>
    <w:p>
      <w:r>
        <w:t>- 28 - essuie-glaces (PV aud. 9, ll. 288 ss). Les photos produites permettent de confirmer les dégâts décrits par I.________ (P. 7/1). A.G.________ ayant reconnu avoir donné des coups au véhicule et [...] ayant déclaré que son père avait cassé le rétroviseur et l’essuie-glace de la voiture d’I.________ (P. 5/1 ; PV aud. 9, ll. 175 ss), il convient de retenir les faits tels que décrits par I.________. Les faits figurant dans l’acte d’accusation qui avaient été écartés par le Tribunal de police n’étant pas remis en question en appel, il convient en définitive de confirmer l’état de fait retenu dans le jugement entrepris.</w:t>
      </w:r>
    </w:p>
    <w:p>
      <w:r>
        <w:rPr>
          <w:b/>
        </w:rPr>
        <w:t>E. 3.1.1</w:t>
      </w:r>
    </w:p>
    <w:p>
      <w:r>
        <w:t>B.G.________ invoque une constatation erronée des faits. Elle soutient que la comparaison de ses blessures à celles d’I.________ ne permettrait pas de conclure qu’elle occupait le rôle d’agresseur car ses lésions étaient plus nombreuses et importantes. Elle affirme également que la présence de blessures chez elle et la bénignité des blessures présentées par I.________ ne seraient pas compatibles avec les déclarations de cette dernière. Les blessures subies par U.________ ne seraient pour leur part pas pertinentes pour établir son comportement. Le fait que ça soit l’appelante et non A.G.________ qui est sortie de la voiture</w:t>
      </w:r>
    </w:p>
    <w:p>
      <w:r>
        <w:t>- 20 - pour remettre les enfants à I.________ démonterait au demeurant que leur intention était d’éviter tout débordement. L’appelante s’attèle ensuite à relever les contradictions dans les déclarations d’I.________ et U.________ en cours de procédure, notamment s’agissant de savoir qui de B.G.________ ou de A.G.________ était sorti en premier de leur voiture, qui d’entre eux s’en était pris en premier à I.________ et comment U.________ avait été impliqué dans l’altercation. L’appelante reproche encore au premier juge de s’être basé sur les propos tenus par A.G.________ pour fonder sa culpabilité. Elle ajoute que ces propos ont été rapportés par [...] et [...], qui ne seraient dans tous les cas pas crédibles en raison de l’implication des enfants dans le conflit parental. Ceux-ci se seraient en outre contredits, U.________ ayant été hors du véhicule lorsqu’il s’est fait frapper selon [...] et à l’intérieur selon [...]. L’appelante relève encore qu’[...] avait déclaré qu’U.________ était en train d’écouter de la musique lorsque A.G.________ s’en était pris à lui, alors qu’elle ne pouvait pas avoir eu connaissance de cet élément.</w:t>
      </w:r>
    </w:p>
    <w:p>
      <w:r>
        <w:rPr>
          <w:b/>
        </w:rPr>
        <w:t>E. 3.1.2</w:t>
      </w:r>
    </w:p>
    <w:p>
      <w:r>
        <w:t>A.G.________ invoque également une constatation erronée des faits. S’il ressortait bien du rapport de police du 11 avril 2023 qu’il y avait eu un échange de coups entre les protagonistes, il ne pourrait en être déduit qu’il y avait eu un camp composé d’agresseurs et un camp composé de victimes. Les certificats médicaux produits par I.________ ne permettraient en outre pas de retenir que l’appelant lui aurait porté des coups. Dans tous les cas, les blessures dont ces certificats attestent ne seraient pas compatibles avec les coups qu’I.________ dit avoir reçus et seraient moins graves que les blessures subies par B.G.________. S’agissant des dégâts causés au véhicule d’I.________, il n’y aurait pas de preuve qu’il serait l’auteur des déprédations commises, les policiers étant intervenus le soir des faits ne faisant d’ailleurs aucune mention de dommages au véhicule. Pour finir, il n’y aurait également aucune preuve que l’appelant aurait proféré des menaces à l’encontre d’I.________.</w:t>
      </w:r>
    </w:p>
    <w:p>
      <w:r>
        <w:t>- 21 -</w:t>
      </w:r>
    </w:p>
    <w:p>
      <w:r>
        <w:rPr>
          <w:b/>
        </w:rPr>
        <w:t>E. 3.1.3</w:t>
      </w:r>
    </w:p>
    <w:p>
      <w:r>
        <w:t>I.________ se prévaut d’un état de légitime défense. Subissant une attaque unilatérale, l’appelante soutient avoir eu le droit de riposter avec des moyens proportionnés tels que des voies de fait, des injures et des dommages mineurs à la propriété. Même si la légitime défense n’était pas admise, il faudrait admettre qu’elle se trouvait dans un état de défense excusable face à l’attaque de deux personnes de gabarits imposants alors qu’elle se trouvait en situation de fragilité en raison de sa grossesse.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w:t>
      </w:r>
    </w:p>
    <w:p>
      <w:r>
        <w:t>- 22 -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w:t>
      </w:r>
    </w:p>
    <w:p>
      <w:r>
        <w:rPr>
          <w:b/>
        </w:rPr>
        <w:t>E. 3.2.2</w:t>
      </w:r>
    </w:p>
    <w:p>
      <w:r>
        <w:t>Selon l'art. 15 CP, quiconque, de manière contraire au droit, est attaqué ou menacé d'une attaque imminente a le droit de repousser l'attaque par des moyens proportionnés aux circonstances. Conformément à l’art. 16 al. 1 CP, si l'auteur, en repoussant une attaque, a excédé les limites de la légitime défense au sens de l'art. 15 CP, le juge atténue la peine.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(ATF 106 IV 12 consid. 2a). Le droit à la légitime défense s'éteint lorsque l'attaque est achevée. L'acte de celui qui est attaqué ou menacé de l'être doit tendre à la défense; un comportement visant à se venger ou à punir ne relève pas de la légitime défense. Une attaque n'est pas achevée aussi longtemps que le risque d'une nouvelle atteinte ou d'une aggravation de celle-ci par l'assaillant reste imminent (ATF 102 IV 1 consid. 2b ; TF 6B_813/2024 du 10 janvier 2025 consid. 3.1 et les références citées).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 ATF 102 IV 65 consid. 2a ; ATF 101 IV 119). La proportionnalité des moyens de défense se détermine</w:t>
      </w:r>
    </w:p>
    <w:p>
      <w:r>
        <w:t>- 23 - d'après la situation de celui qui voulait repousser l'attaque au moment où il a agi (ATF 136 IV 49 consid. 3.2 ; TF 6B_813/2024 précité consid. 3.1 et les références citées).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ATF 102 IV 65 consid. 2a ; TF 6B_770/2023 du 20 octobre 2023 consid. 5.1).</w:t>
      </w:r>
    </w:p>
    <w:p>
      <w:r>
        <w:rPr>
          <w:b/>
        </w:rPr>
        <w:t>E. 3.3</w:t>
      </w:r>
    </w:p>
    <w:p>
      <w:r>
        <w:t>Le premier juge a relevé que les faits en cause s’inscrivaient dans le contexte d’un important conflit autour de la garde des enfants d’I.________ et de A.G.________. Il ressortait des messages échangés entre ceux-ci que le jour des faits A.G.________ avait tenté d’amener les enfants au domicile d’I.________ à l’issue de son droit de visite. Celle-ci n’étant pas présente, il l’avait informée qu’il avait ramené les enfants chez lui et qu’il la laissait venir les chercher. I.________ et U.________ étaient arrivés à la gare de [...] à 20h09. A.G.________ et B.G.________ les y avaient retrouvé une quinzaine de minutes plus tard. Le magistrat a constaté que le déroulement des évènements divergeait grandement entre les protagonistes à partir de ce moment-là, chaque couple accusant l’autre d’être les agresseurs. Il a relevé que, de part et d’autre, les versions présentées avaient évolué vers une aggravation et parfois l’ajout d’éléments factuels favorables à l’une ou l’autre des parties. Il s’est donc fondé sur des éléments extrinsèques aux déclarations des parties, soit essentiellement sur les premiers constats effectuées par les policiers, les rapports médicaux, les différentes photographies au dossier, les aveux partiels de A.G.________ et les déclarations de [...] et [...] pour conclure que les assaillants se situaient du côté des époux G.________. Il a estimé qu’il pouvait être retenu que les évènements s’étaient déroulés en deux phases distinctes. Dans un premier temps, B.G.________ était venue chercher le conflit, ce qui avait conduit à un échange de coups et d’insultes avec</w:t>
      </w:r>
    </w:p>
    <w:p>
      <w:r>
        <w:t>- 24 - I.________. Dans un second temps, A.G.________ était venu prêter main forte à son épouse qui s’en prenait à I.________, avait frappé U.________ avant qu’il puisse venir en aide à sa compagne et avait arraché et emporté la bague de fiançailles qu’I.________ portait au doigt. Enfin, le premier juge a retenu que A.G.________ avait proféré des propos menaçants à l’attention d’I.________ et endommagé sa voiture. Le raisonnement du premier juge ne prête pas le flanc à la critique. C’est en vain que B.G.________ s’attelle longuement à soulever des contradictions dans le discours d’I.________ et U.________ dès lors qu’il n’a pas échappé à ce magistrat que, à elles seules, les déclarations des différents protagonistes ne permettaient pas de se forger une conviction. Ce sont les autres éléments de preuve au dossier qui permettent de confirmer le déroulement global des évènements tel que rapporté par I.________ et U.________. Il ressort ainsi des rapports médicaux produits par I.________ qu’elle présentait un traumatisme craniocérébral mineur, une entorse métacarpo-phalangienne des doigts 4 et 5 à gauche et de l’interphalangienne proximale du doigt 5, des contusions au bras droit, au dos, au thorax (avec suspicion de fractures de côtes) et au niveau abdominal, une dermabrasion au niveau des lèvres, un érythème sclère à l’œil droit, des lésions superficielles sur les deux lèvres et une marque de griffure sur la paupière gauche. Les photos prises le soir des faits montrent un visage tuméfié, avec du sang sur la lèvre inférieure et dans l’œil droit, ainsi qu’une main gauche ensanglantée. Une autre photo produite, prise avant les faits, permet de constater qu’I.________ portait une bague de fiançailles à sa main gauche. I.________ s’est par la suite rendue à 15 entretiens ambulatoires auprès de l’Unité interdisciplinaire de médecine de prévention de la violence des HUG durant lesquels il a été relevé une réaction de stress aigue de forte intensité évoluant au cours des mois suivants vers un trouble de stress post-traumatique. I.________ a été en arrêt de travail complet du 31 octobre au 11 décembre 2022, puis du 4 au 28 février 2023 (P. 77 ; P. 66/2).</w:t>
      </w:r>
    </w:p>
    <w:p>
      <w:r>
        <w:t>- 25 - Il ressort des rapports et certificats médicaux produits par U.________ qu’il présentait des vertiges, des douleurs faciales diffuses, une plaie lacérée d’environ 2 cm à l’arcade sourcilière droite qui avait nécessité 3 points de suture, une tuméfaction de la paupière supérieure de l’œil droit avec un hématome et une hémorragie conjonctivale de l’œil droit. Les photos prises le soir des faits montrent un visage et des habits maculés de sang. U.________ s’est par la suite rendu à cinq entretiens ambulatoires auprès de l’Unité interdisciplinaire de médecine de prévention de la violence des HUG durant lesquels il avait été constaté qu’il souffrait d’un état de stress post-traumatique modéré et d’un trouble de l’adaptation avec réaction dépressive. U.________ a été en arrêt de travail complet du 24 au 26 octobre 2022 (PV aud. 3, annexes ; P. 55/1). Le rapport médical produit par B.G.________ indique qu’elle présentait un hématome rosé et une tuméfaction sous-oculaire avec</w:t>
      </w:r>
    </w:p>
    <w:p>
      <w:r>
        <w:rPr>
          <w:b/>
        </w:rPr>
        <w:t>E. 4.1.1</w:t>
      </w:r>
    </w:p>
    <w:p>
      <w:r>
        <w:t>B.G.________ conteste sa condamnation pour agression. I.________ ayant été reconnue coupable de voies de fait, dommages à la propriété d’importance mineure et injure, il ne pourrait être retenu qu’elle avait adopté un comportement passif. Pour cette même raison, il ne pourrait pas non plus être retenu qu’il y avait un camp constitué d’assaillants et un autre constitué de victimes.</w:t>
      </w:r>
    </w:p>
    <w:p>
      <w:r>
        <w:rPr>
          <w:b/>
        </w:rPr>
        <w:t>E. 4.1.2</w:t>
      </w:r>
    </w:p>
    <w:p>
      <w:r>
        <w:t>A.G.________ conteste également sa condamnation pour agression. Comme son épouse, il soutient qu’I.________ ne serait pas restée passive puisqu’elle avait frappé B.G.________. Il estime en outre qu’il ne pourrait pas non plus être retenu qu’il aurait lui-même frappé I.________.</w:t>
      </w:r>
    </w:p>
    <w:p>
      <w:r>
        <w:rPr>
          <w:b/>
        </w:rPr>
        <w:t>E. 4.2</w:t>
      </w:r>
    </w:p>
    <w:p>
      <w:r>
        <w:t>Selon l'art. 134 aCP (Code pénal suisse du 21 décembre 1937 ; RS 311.0), se rend coupable d’agression celui qui aura participé à une agression dirigée contre une ou plusieurs personnes au cours de laquelle l'une d'entre elles ou un tiers aura trouvé la mort ou subi une lésion corporelle. L'agression au sens de cette disposition se caractérise comme une attaque unilatérale de deux personnes au moins, dirigée contre une ou plusieurs victimes, qui restent passives ou se contentent de se</w:t>
      </w:r>
    </w:p>
    <w:p>
      <w:r>
        <w:t>- 29 -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(cf. ATF 137 IV 1 s'agissant de la rixe ; TF 6B_746/2022 du 30 mars 2023 consid. 2.2 et les références citées). Pour que l’infraction soit réalisée, il faut qu'une ou plusieurs des personnes agressées soient blessées ou tuées. La victime doit à tout le moins avoir subi des lésions corporelles simples au sens de l’art. 123 CP (TF 6B_619/2013 du 2 septembre 2013 consid. 2.2 ; Dupuis et al. [éd.], Petit commentaire du Code pénal, 2e éd., Bâle 2017, n. 9 ad art. 133 CP) L'auteur se rend passible d'une peine du seul fait de sa participation à l'agression, quel que soit le rôle qu'il assume concrètement. Par conséquent, il suffit de prouver l'intention de l'auteur de participer à l'agression, sans qu'il ne soit nécessaire d'établir qu'il a voulu donner la mort ou provoquer des lésions corporelles (ATF 135 IV 152 consid. 2.1.1; TF 6B_746/2022 précité consid. 2.2 et les références citées).</w:t>
      </w:r>
    </w:p>
    <w:p>
      <w:r>
        <w:rPr>
          <w:b/>
        </w:rPr>
        <w:t>E. 4.3</w:t>
      </w:r>
    </w:p>
    <w:p>
      <w:r>
        <w:t>En l’espèce, les appelants se fondent essentiellement sur leur propre version des faits pour contester leur condamnation. Au regard de l’état de fait retenu au considérant 3.3 ci-dessus, I.________ a uniquement été en mesure de donner des coups à B.G.________ lors de la première phase de l’altercation. Durant la seconde phase, les époux G.________ ont frappé ensemble I.________, qui n’était alors plus en état de riposter. A.G.________ s’en est ensuite également pris à U.________, sans que celui-ci ait donné le moindre coup. Tant I.________ qu’U.________ ont subi des blessures devant être qualifiées de lésions corporelles simples. A.G.________ et B.G.________ étaient conscients de s’en prendre à deux victimes qui ne leur opposaient pas de résistance. Les conditions d’application de l’art. 134 CP sont ainsi réalisées et la condamnation des appelants pour agression doit être confirmée.</w:t>
      </w:r>
    </w:p>
    <w:p>
      <w:r>
        <w:t>- 30 -</w:t>
      </w:r>
    </w:p>
    <w:p>
      <w:r>
        <w:rPr>
          <w:b/>
        </w:rPr>
        <w:t>E. 5.1.1</w:t>
      </w:r>
    </w:p>
    <w:p>
      <w:r>
        <w:t>B.G.________ conteste sa condamnation pour injure. Elle affirme qu’I.________ l’aurait provoquée en lui donnant une gifle, ce qui aurait dû entraîner son exemption de peine en application de l’art. 177 al. 2 CP.</w:t>
      </w:r>
    </w:p>
    <w:p>
      <w:r>
        <w:rPr>
          <w:b/>
        </w:rPr>
        <w:t>E. 5.1.2</w:t>
      </w:r>
    </w:p>
    <w:p>
      <w:r>
        <w:t>I.________ considère pour sa part qu’elle aurait dû être mise au bénéfice de l’art. 177 al. 3 CP pour les injures, voies de fait et dommages à la propriété d’importance mineure. Selon elle, la ratio legis de cette disposition inclurait les dommages à la propriété d’importance mineure survenant lors d’altercations, notamment des déchirures de vêtements comme en l’espèce.</w:t>
      </w:r>
    </w:p>
    <w:p>
      <w:r>
        <w:rPr>
          <w:b/>
        </w:rPr>
        <w:t>E. 5.2</w:t>
      </w:r>
    </w:p>
    <w:p>
      <w:r>
        <w:t>Aux termes de l’art. 177 aCP, se rend coupable d'injure quiconque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L'honneur que protège l'art. 177 CP est le sentiment et la réputation d'être une personne honnête et respectable, c'est-à-dire le droit de ne pas être méprisé en tant qu'être humain (ATF 132 IV 112 consid. 2.1). Pour apprécier si une déclaration est attentatoire à l'honneur, il faut procéder à une interprétation objective selon le sens que le destinataire non prévenu devait, dans les circonstances d'espèce, lui attribuer (ATF 137 IV 313 consid. 2.1.3). Sur le plan subjectif, l'injure suppose l'intention. L'auteur doit vouloir ou accepter que son message soit attentatoire à l'honneur et qu'il soit communiqué à la personne lésée ou à un tiers (TF 6B_589/2024 du 17 janvier 2025 consid. 3.1 et les références citées). Le juge ne peut faire usage de la faculté qui lui est conférée par l’art. 177 al. 2 CP que si l'injure a consisté en une réaction immédiate</w:t>
      </w:r>
    </w:p>
    <w:p>
      <w:r>
        <w:t>- 31 - à un comportement répréhensible de l'injurié, lequel peut consister en une provocation ou en tout autre comportement blâmable (ATF 117 IV 270 consid. 2c). La notion d'immédiateté contenue à l’art. 177 al. 2 et 3 CP doit être comprise comme une notion de temps dans le sens que l'auteur doit avoir agi sous le coup de l'émotion provoquée par la conduite répréhensible de l'injurié, sans avoir eu le temps de réfléchir tranquillement (ATF 83 IV 151 p. 151 ; TF 6B_826/2019 du 21 janvier 2020 consid. 4).</w:t>
      </w:r>
    </w:p>
    <w:p>
      <w:r>
        <w:rPr>
          <w:b/>
        </w:rPr>
        <w:t>E. 5.3</w:t>
      </w:r>
    </w:p>
    <w:p>
      <w:r>
        <w:t>En l’espèce, B.G.________ fonde une nouvelle fois son grief sur sa propre version des faits. Il n’est toutefois pas établi que ce serait I.________ qui aurait provoqué l’altercation. B.G.________ ne peut ainsi se prévaloir de l’art. 177 al. 2 CP. Pour ce qui est d’I.________, dans la mesure où elle a échangé plusieurs injures et coups avec B.G.________ durant la première phase de l’altercation, le seuil de la simple riposte a été dépassé. Elle ne peut donc se prévaloir de l’art. 177 al. 3 CP. Les appelantes ne contestant pour le surplus pas cette qualification juridique, il peut être renvoyé au jugement entrepris à cet égard (pp. 35 et 36).</w:t>
      </w:r>
    </w:p>
    <w:p>
      <w:r>
        <w:rPr>
          <w:b/>
        </w:rPr>
        <w:t>E. 6.1</w:t>
      </w:r>
    </w:p>
    <w:p>
      <w:r>
        <w:t>A.G.________ conteste sa condamnation pour brigandage. Il affirme que, même s’il fallait retenir qu’il avait effectivement pris la bague d’I.________, le geste aurait seulement eu une valeur symbolique afin de dénigrer la relation d’I.________ avec son nouveau compagnon, ce qui exclurait de considérer qu’il était mû par un dessein d’enrichissement illégitime.</w:t>
      </w:r>
    </w:p>
    <w:p>
      <w:r>
        <w:rPr>
          <w:b/>
        </w:rPr>
        <w:t>E. 6.2</w:t>
      </w:r>
    </w:p>
    <w:p>
      <w:r>
        <w:t>À teneur de l'art. 140 ch. 1 al. 1 aCP, se rend coupable de brigandage celui qui aura commis un vol en usant de violence à l’égard d’une personne, en la menaçant d’un danger imminent pour la vie ou l’intégrité corporelle ou en la mettant hors d’état de résister.</w:t>
      </w:r>
    </w:p>
    <w:p>
      <w:r>
        <w:t>- 32 - Le brigandage est une forme aggravée du vol qui se caractérise par les moyens que l'auteur a employés (ATF 133 IV 207 consid. 4.2). Comme dans le cas du vol, l'auteur soustrait la chose, c'est-à- 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Il importe peu que la victime ait été mise dans l'incapacité de se défendre pour que le brigandage soit consommé; il suffit que l'auteur ait recouru aux moyens indiqués et que le vol ait été consommé (ATF 133 IV 207 consid. 4.3.1). Cela suppose que la violence ait une certaine intensité, propre à faire céder la victime; lui prendre simplement le bras ne suffit pas (ATF 133 IV 207 consid. 4.3.2 ; TF 6B_1371/2023 du 7 novembre 2024 consid 2.1 et les références citées). D'un point de vue subjectif, l'infraction de brigandage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(ATF 133 IV 207 consid. 4.3.3). Le brigandage est une infraction intentionnelle, le dol éventuel étant suffisant (ATF 133 IV 207 consid. 4.3.3 ; TF 6B_1371/2023 précité consid 2.1 et les références citées).</w:t>
      </w:r>
    </w:p>
    <w:p>
      <w:r>
        <w:rPr>
          <w:b/>
        </w:rPr>
        <w:t>E. 6.3</w:t>
      </w:r>
    </w:p>
    <w:p>
      <w:r>
        <w:t>En l’espèce, A.G.________ a fait usage de la force physique pour retirer la bague de fiançailles d’I.________ contre son gré, lui blessant deux doigts. On ignore ce que A.G.________ a fait de cette bague. Toutefois, dans la mesure où elle n’a jamais été retrouvée, c’est évident qu’il se l’est appropriée, temporairement ou durablement. Il a ainsi agi dans un but d’appropriation illégitime et d’enrichissement.</w:t>
      </w:r>
    </w:p>
    <w:p>
      <w:r>
        <w:rPr>
          <w:b/>
        </w:rPr>
        <w:t>E. 7</w:t>
      </w:r>
    </w:p>
    <w:p>
      <w:r>
        <w:t>A.G.________ ne remettant pas en cause la réalisation des conditions d’application des infractions de menaces et dommages à la</w:t>
      </w:r>
    </w:p>
    <w:p>
      <w:r>
        <w:t>- 33 - propriété, il peut être renvoyé au jugement entrepris à cet égard (p. 35). Il en va de même des infractions de voies de fait et dommages à la propriété d’importance mineure s’agissant d’I.________ (p. 36).</w:t>
      </w:r>
    </w:p>
    <w:p>
      <w:r>
        <w:rPr>
          <w:b/>
        </w:rPr>
        <w:t>E. 8.1.1</w:t>
      </w:r>
    </w:p>
    <w:p>
      <w:r>
        <w:t>Dans l’hypothèse où sa condamnation pour tous les chefs d’accusation serait confirmée, B.G.________ estime que la peine prononcée à son encontre serait disproportionnée. Il y aurait lieu de réduire la quotité de la peine ainsi que la durée du délai d’épreuve assortissant le sursis.</w:t>
      </w:r>
    </w:p>
    <w:p>
      <w:r>
        <w:rPr>
          <w:b/>
        </w:rPr>
        <w:t>E. 8.1.2</w:t>
      </w:r>
    </w:p>
    <w:p>
      <w:r>
        <w:t>A.G.________ considère également que, dans l’hypothèse où sa condamnation pour tous les chefs d’accusation serait confirmée, la peine prononcée à son encontre serait disproportionnée. Sa culpabilité aurait été appréciée de manière excessivement sévère par comparaison aux autres protagonistes. Il se serait laissé emporter par ses émotions et n’aurait pas été mû par une volonté délictuelle froide et intense. En l’absence d’antécédents de violence, il devrait se voir infliger une peine pécuniaire clémente.</w:t>
      </w:r>
    </w:p>
    <w:p>
      <w:r>
        <w:rPr>
          <w:b/>
        </w:rPr>
        <w:t>E. 8.1.3</w:t>
      </w:r>
    </w:p>
    <w:p>
      <w:r>
        <w:t>I.________ ne conteste pas en elle-même la peine prononcée à son encontre. Celle-ci doit toutefois être revue d’office.</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w:t>
      </w:r>
    </w:p>
    <w:p>
      <w:r>
        <w:t>- 34 -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du 19 février 2024 consid. 1.4). Selon l'art. 49 al. 2 CP, si le juge doit prononcer une condamnation pour une infraction que l'auteur a commise avant d'avoir</w:t>
      </w:r>
    </w:p>
    <w:p>
      <w:r>
        <w:t>- 35 -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145 IV 1 consid. 1.3 ; ATF 142 IV 265 consid. 2.3.1 ; ATF 141 IV 61 consid. 6.1.2 ; TF 6B_796/2024 du 20 janvier 2025 consid. 1.2 et les références citées).</w:t>
      </w:r>
    </w:p>
    <w:p>
      <w:r>
        <w:rPr>
          <w:b/>
        </w:rPr>
        <w:t>E. 8.2.3</w:t>
      </w:r>
    </w:p>
    <w:p>
      <w:r>
        <w:t>Selon l'art. 41 CP,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Il doit de plus motiver le choix de cette dernière peine de manière circonstanciée (al. 2).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et les arrêts cités). Le choix de la sanction doit être opéré en tenant compte au premier chef de l'adéquation de la peine, de ses effets sur l'auteur et sur sa situation sociale ainsi que de son efficacité du point de vue de la prévention (ATF 147 IV 241 consid. 3.2 ; 144 IV 313 consid. 1.1.1 ; TF 6B_70/2024 du 27 janvier 2025 consid. 2.1.2).</w:t>
      </w:r>
    </w:p>
    <w:p>
      <w:r>
        <w:rPr>
          <w:b/>
        </w:rPr>
        <w:t>E. 8.2.4</w:t>
      </w:r>
    </w:p>
    <w:p>
      <w:r>
        <w:t>Le juge suspend en règle générale l'exécution d'une peine pécuniaire ou d'une peine privative de liberté de deux ans au plus</w:t>
      </w:r>
    </w:p>
    <w:p>
      <w:r>
        <w:t>- 36 -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6B_252/2024 du 2 décembre 2024 consid. 3.1 et les références citées). Aux termes de l'art. 44 al. 1 CP, si le juge suspend totalement ou partiellement l'exécution d'une peine, il impartit au condamné un délai d'épreuve de deux à cinq ans.</w:t>
      </w:r>
    </w:p>
    <w:p>
      <w:r>
        <w:rPr>
          <w:b/>
        </w:rPr>
        <w:t>E. 8.3.1</w:t>
      </w:r>
    </w:p>
    <w:p>
      <w:r>
        <w:t>C’est à raison que le premier juge a retenu que la culpabilité de A.G.________ était importante. Ce dernier n’a pas hésité à s’en prendre physiquement et de façon violente à la mère d’une partie de ses enfants et au nouveau compagnon de celle-ci, devant ces mêmes enfants. L’agression était fondée sur un motif extrêmement futile, soit une incompréhension concernant l’exercice du droit de visite de l’appelant. Il était justifié de retenir une culpabilité plus importante à son égard puisque, contrairement à son épouse, il s’en est également pris à U.________, alors que celui-ci ne présentait aucun danger, et a arraché de</w:t>
      </w:r>
    </w:p>
    <w:p>
      <w:r>
        <w:t>- 37 - force la bague d’I.________. En outre, l’expérience que l’appelant a acquise en exerçant par le passé la profession d’agent de sécurité et les formations dont il a nécessairement bénéficié dans ce cadre devaient lui permettre de garder le contrôle de ses émotions et de savoir proscrire le recours à la violence. Il n’a fait preuve d’aucune prise de conscience, puisqu’il a minimisé les faits et contesté les évidences durant toute la procédure. Il a déjà fait l’objet d’une condamnation pénale par le passé. Il faut retenir à décharge la convention passée avec U.________ lors des débats de première instance, de même que les excuses adressées à ce dernier. Pour des raisons de prévention spéciale, c’est une peine privative de liberté qui doit être prononcée pour toutes les infractions commises. On doit encore relever qu’une peine pécuniaire n’a aucune chance d’être exécutée au vu de la situation financière largement obérée de cet appelant. Le calcul opéré par le premier juge pour fixer la peine devant être prononcée par l’effet du concours d’infractions est adéquat. Le brigandage, infraction la plus grave, doit être sanctionnée par une peine privative de liberté de 6 mois. Par l’effet du concours, la peine sera augmentée de 2 mois pour l’agression, de 20 jours pour les dommages à la propriété et de 10 jour pour les menaces. La peine globale s’élève ainsi à 9 mois de privation de liberté. L’absence de prise de conscience de l’appelant amène à assortir un délai d’épreuve plus long que le minimum légal au sursis. En outre, comme l’a retenu le premier juge, il convient également de prononcer une amende de 1'000 fr., convertible en 10 jours de peine privative de liberté en cas de non-paiement fautif, à titre de sanction immédiate afin de favoriser sa prise de conscience.</w:t>
      </w:r>
    </w:p>
    <w:p>
      <w:r>
        <w:rPr>
          <w:b/>
        </w:rPr>
        <w:t>E. 8.3.2</w:t>
      </w:r>
    </w:p>
    <w:p>
      <w:r>
        <w:t>La culpabilité de B.G.________ n’est pas négligeable. Elle s’en est prise à l’intégrité corporelle et à l’honneur d’I.________ en participant à une violente attaque à son encontre. Le motif de l’agression était futile et égoïste. Elle a agi devant son fils d’un an et demi. Elle n’a eu aucune prise de conscience. Elle a fait l’objet de deux nouvelles condamnations depuis</w:t>
      </w:r>
    </w:p>
    <w:p>
      <w:r>
        <w:t>- 38 - les faits, d’une part pour menaces, d’autre part pour escroquerie et faux dans les titres. On ne voit aucun élément à décharge. C’est une peine pécuniaire qui doit être prononcée pour réprimer les infractions commises. L’infraction la plus grave est l’agression. Elle doit être sanctionnée par 100 jours-amende. Par l’effet du concours, elle doit être augmentée de 20 jours-amende pour l’injure. La peine globale doit ainsi être de 120 jours-amende. Les faits en cause sont antérieurs aux condamnations de l’appelante des 9 février 2023 et 23 avril 2024. Les peines résultant de ces condamnations étant également des peines pécuniaires, de respectivement 20 et 50 jours-amende, la peine prononcée en l’espèce leur est entièrement complémentaire. Par l’effet du concours rétrospectif, c’est une peine pécuniaire complémentaire de 100 jours-amende qui doit être prononcée en l’espèce. Le montant de 30 fr. le jour peut également être confirmé au regard de la situation financière de l’appelante. C’est à bon droit que le premier juge a estimé que le délai d’épreuve assortissant le sursis devait être plus long que le minimum légal afin de tenir compte des deux condamnations ultérieures de l’appelante. Une durée de 3 ans est appropriée.</w:t>
      </w:r>
    </w:p>
    <w:p>
      <w:r>
        <w:rPr>
          <w:b/>
        </w:rPr>
        <w:t>E. 8.3.3</w:t>
      </w:r>
    </w:p>
    <w:p>
      <w:r>
        <w:t>La culpabilité d’I.________ n’est pas très élevée. Il peut toutefois lui être reproché d’avoir activement participé à la première phase de l’altercation et ainsi contribué au spectacle lamentable offert aux enfants. La peine de 10 jours-amende prononcée par le premier juge est adaptée à la culpabilité de l’appelante. Le montant de 30 fr. le jour est quant à lui adapté à la situation financière de cette dernière. Il doit être tenu compte de l’antécédent de l’appelante. On fixera donc le délai d’épreuve assortissant le sursis à 3 ans. Les infractions de voies de fait et de dommages à la propriété d’importance mineure, qui sont des contraventions, doivent être sanctionnées par une amende de 150 fr. chacune. L’amende de 300 fr. prononcée par le premier juge peut donc être confirmée, de même que la peine privative de liberté de substitution en cas de non-paiement fautif de 3 jours.</w:t>
      </w:r>
    </w:p>
    <w:p>
      <w:r>
        <w:t>- 39 -</w:t>
      </w:r>
    </w:p>
    <w:p>
      <w:r>
        <w:rPr>
          <w:b/>
        </w:rPr>
        <w:t>E. 9.1.1</w:t>
      </w:r>
    </w:p>
    <w:p>
      <w:r>
        <w:t>Se fondant sur son acquittement, B.G.________ conteste l’allocation d’une indemnité de l’art. 433 CPP en faveur d’I.________ pour la procédure de première instance.</w:t>
      </w:r>
    </w:p>
    <w:p>
      <w:r>
        <w:rPr>
          <w:b/>
        </w:rPr>
        <w:t>E. 9.1.2</w:t>
      </w:r>
    </w:p>
    <w:p>
      <w:r>
        <w:t>Se fondant sur son acquittement, I.________ considère avoir droit à une indemnité de l’art. 429 CPP pour les frais de défense générés par les accusations portées contre elle.</w:t>
      </w:r>
    </w:p>
    <w:p>
      <w:r>
        <w:rPr>
          <w:b/>
        </w:rPr>
        <w:t>E. 9.2</w:t>
      </w:r>
    </w:p>
    <w:p>
      <w:r>
        <w:t>Le jugement de première instance étant confirmé, ces conclusions doivent être rejetées.</w:t>
      </w:r>
    </w:p>
    <w:p>
      <w:r>
        <w:rPr>
          <w:b/>
        </w:rPr>
        <w:t>E. 10</w:t>
      </w:r>
    </w:p>
    <w:p>
      <w:r>
        <w:t>Au vu de ce qui précède, les appels de A.G.________, B.G.________ et I.________ sont rejetés et le jugement entrepris est confirmé. Me Olga Collados Andrade, défenseur d’office de B.G.________, a produit une liste des opérations faisant état de 20h40 d’activité. Elle fait notamment état de 10h25 d’activité pour l’étude du jugement du tribunal de police, les recherches juridiques et la rédaction du mémoire d’appel. Cela apparaît excessif dans la mesure où Me Collados Andrade connaissait déjà le dossier, puisqu’elle défendait déjà sa cliente lors de l’instruction menée par le Ministère public, et où la cause ne soulève pas de questions d’une grande complexité. Ces opérations seront réduites à 5h00. L’opération relative à l’audience d’appel sera également réduite à 2h30 afin de tenir compte de la durée effective de celle-ci. Ainsi, les honoraires s’élèvent à 2’655 fr., correspondant à 14h45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53 fr. 10, une vacation forfaitaire de 120 fr. (art. 3bis al. 3 RAJ), ainsi que la TVA au taux de 8,1 % sur le tout, par 229 fr. 10. L’indemnité s’élève donc à 3'057 fr. 20 au total.</w:t>
      </w:r>
    </w:p>
    <w:p>
      <w:r>
        <w:t>- 40 - Me Tiphanie Chappuis, défenseur d’office de A.G.________, a produit une liste des opérations faisant état de 16h17 d’activité. Il n’y a pas lieu de s’en écarter, si ce n’est pour ajouter 0h30 d’activité afin de tenir compte de la durée effective de l’audience d’appel. Ainsi, les honoraires s’élèvent à 3’021 fr., correspondant à 16h47 d’activité au tarif horaire de 180 fr. (art. 2 al. 1 let. a RAJ). Viennent s’y ajouter les débours forfaitaires de 2 % (art. 3bis al. 1 RAJ), par 60 fr. 40, une vacation forfaitaire de 120 fr. (art. 3bis al. 3 RAJ), ainsi que la TVA au taux de 8,1 % sur le tout, par 259 fr. 30. L’indemnité s’élève donc à 3'460 fr. 75 au total. Les frais de procédure d’appel s’élèvent à 10'627 fr. 95 francs. Ils sont constitués de l’émolument d’audience, par 700 fr. (art. 21 al. 2 TFIP), de l’émolument de jugement, par 3’410 fr. (art. 21 al. 1 TFIP), et des indemnités d’office arrêtées ci-dessus. A.G.________, B.G.________ et I.________, qui succombent, supporteront chacun un tiers des émoluments d’audience et de jugement, soit 1’370 francs. A.G.________ et B.G.________ supporteront en outre les indemnités de leur défenseur d’office respectif. A.G.________ et B.G.________ seront tenus de rembourser à l’Etat de Vaud le montant des indemnités allouées à leur défenseur d’office respectif dès que leur situation financière le permettra (art. 135 al. 4 CPP).</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