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PE22.021924 vom 9. November 2023</w:t>
      </w:r>
    </w:p>
    <w:p>
      <w:r>
        <w:t>VD Tribunal cantonal, 2023-11-09, FR</w:t>
      </w:r>
    </w:p>
    <w:p>
      <w:r>
        <w:rPr>
          <w:b/>
        </w:rPr>
        <w:t xml:space="preserve">Quelle: </w:t>
      </w:r>
      <w:r>
        <w:t>https://mcp.opencaselaw.ch/entscheid/vd_gerichte_PE22.021924</w:t>
      </w:r>
    </w:p>
    <w:p>
      <w:r>
        <w:t>FR: VD_GERICHTE PE22.021924 du 9 novembre 2023</w:t>
      </w:r>
    </w:p>
    <w:p>
      <w:r>
        <w:t>IT: VD_GERICHTE PE22.021924 del 9 novembre 2023</w:t>
      </w:r>
    </w:p>
    <w:p>
      <w:pPr>
        <w:pStyle w:val="Heading2"/>
      </w:pPr>
      <w:r>
        <w:t>Erwägungen</w:t>
      </w:r>
    </w:p>
    <w:p>
      <w:r>
        <w:rPr>
          <w:b/>
        </w:rPr>
        <w:t>E. 1</w:t>
      </w:r>
    </w:p>
    <w:p>
      <w:r>
        <w:t>Interjeté dans les formes et délais légaux (art. 385 et 399 CPP [Code de procédure pénale suisse du 5 octobre 2007 ; RS 312.0]) par une partie qui a qualité pour recourir (art. 381 CPP) contre un jugement du tribunal de première instance ayant clos la procédure (art. 398 CPP), l’appel du Ministère public est recevable.</w:t>
      </w:r>
    </w:p>
    <w:p>
      <w:r>
        <w:t>- 6 - L’appel ne portant que sur la question de l’indemnité au sens de l’art. 429 CPP, il peut être traité en procédure écrite conformément à l’art. 406 al. 1 let. d CPP.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w:t>
      </w:r>
    </w:p>
    <w:p>
      <w:r>
        <w:rPr>
          <w:b/>
        </w:rPr>
        <w:t>E. 2.2</w:t>
      </w:r>
    </w:p>
    <w:p>
      <w:r>
        <w:t>ci-dessus) et ce, tant à l’égard de W.________ qu’à l’égard de I.________, des lésions corporelles simples qualifiées concernant le cas 1 de l’acte d’accusation (ch. 2.1 ci-dessus) à l’égard de I.________ et, enfin, une contravention à la Loi fédérale sur les stupéfiants concernant les cas 3 et 4 de l’acte d’accusation (ch. 2.3 et 2.4 ci-dessus) à l’égard des deux prévenus. S’agissant du sort des frais de procédure, le Tribunal de police a retenu que I.________ et W.________ étaient majoritairement condamnés et supportaient ainsi les frais de la cause. Compte tenu des infractions commises, I.________ devait supporter les frais à raison de ¾ tandis que W.________ devait supporter le ¼ restant. La mise à leur charge des frais de procédure était justifiée par le fait que ces derniers avaient, de manière</w:t>
      </w:r>
    </w:p>
    <w:p>
      <w:r>
        <w:t>- 7 - illicite et fautive, provoqué l’ouverture de la procédure pénale au sens de l’art. 426 al. 2 CPP. S’agissant des indemnités liées aux frais de représentation, I.________ était libéré de l’infraction de mise en danger de la vie d’autrui mais condamné pour le surplus. Dès lors qu’il était mis au bénéfice d’un défenseur d’office pour la procédure devant le Ministère public, un quart des opérations effectuées par son conseil, soit un montant de 2'411 fr. 70 devait lui être alloué à titre d’indemnité fondée sur l’art. 429 CPP.</w:t>
      </w:r>
    </w:p>
    <w:p>
      <w:r>
        <w:rPr>
          <w:b/>
        </w:rPr>
        <w:t>E. 3.1</w:t>
      </w:r>
    </w:p>
    <w:p>
      <w:r>
        <w:t>Le Tribunal de police a considéré que les faits avaient ceci de particulier qu’aucun des protagonistes n’avaient porté plainte, que l’un des prévenus s’était rétracté lors de l’instruction et que les deux prévenus souffraient de troubles mentaux. En présence de versions des faits opposées, il a retenu les faits reconnus par ceux-ci, à savoir des voies de fait qualifiées concernant les cas 1 et 2 de l’acte d’accusation (ch. 2.1 et</w:t>
      </w:r>
    </w:p>
    <w:p>
      <w:r>
        <w:rPr>
          <w:b/>
        </w:rPr>
        <w:t>E. 3.2</w:t>
      </w:r>
    </w:p>
    <w:p>
      <w:r>
        <w:t>Le Ministère public reproche au premier juge d’avoir alloué une indemnité au sens de l’art. 429 al. 1 let. a CPP à I.________, alors que ce dernier était au bénéfice d’un défenseur d’office. Il conclut ainsi à la réforme du chiffre XII du dispositif du jugement de première instance. Selon lui, il existe en outre un parallèle entre la mise à la charge du prévenu des frais de procédure selon l’art. 426 al. 1 et 2 CPP et le refus de verser une indemnité selon l’art. 429 CPP.</w:t>
      </w:r>
    </w:p>
    <w:p>
      <w:r>
        <w:rPr>
          <w:b/>
        </w:rPr>
        <w:t>E. 3.3.1</w:t>
      </w:r>
    </w:p>
    <w:p>
      <w:r>
        <w:t>Le sort des frais de procédure à l’issue de celle-ci est régi par les art. 422 ss CPP. En principe, ils sont mis à la charge de la Confédération ou du canton qui a conduit la procédure, les dispositions contraires du CPP étant réservées (art. 423 al. 1 CPP). Selon l'art. 426 al. 1 CPP, le prévenu supporte les frais de procédure s'il est condamné. Font exception les frais afférents à la défense d’office; l’art. 135, al. 4, est réservé. Aux termes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w:t>
      </w:r>
    </w:p>
    <w:p>
      <w:r>
        <w:rPr>
          <w:b/>
        </w:rPr>
        <w:t>E. 3.3.2</w:t>
      </w:r>
    </w:p>
    <w:p>
      <w:r>
        <w:t>L’art. 430 al. 1 let. a CPP est le pendant de l’art. 426 al. 2 CPP en matière de frais. La question de l’indemnisation (art. 429 à 434 CPP) doit être traitée après celle des frais (TF 6B_1169/2022 du 30 juin 2023 consid. 4.1.2 et les réf. citées). Dans cette mesure, la décision sur les frais</w:t>
      </w:r>
    </w:p>
    <w:p>
      <w:r>
        <w:t>- 8 - préjuge de la question de l’indemnisation (ATF 147 IV 47 consid. 4.1 ; ATF 144 IV 207 consid. 1.8.2). En d’autres termes, si le prévenu supporte les frais en application de l’art. 426 al. 1 ou 2 CPP, une indemnité est en règle générale exclue, alors que le prévenu y a en principe droit si l’État supporte les frais de la procédure pénale (ATF 144 IV 207 précité consid. 1.8.2 ; TF 6B_1169/2022 précité consid. 4.1.2).</w:t>
      </w:r>
    </w:p>
    <w:p>
      <w:r>
        <w:rPr>
          <w:b/>
        </w:rPr>
        <w:t>E. 3.3.3</w:t>
      </w:r>
    </w:p>
    <w:p>
      <w:r>
        <w:t>Selon l’art. 429 al. 1 CPP, si le prévenu est acquitté totalement ou en partie ou s’il bénéficie d’une ordonnance de classement, il a droit à une indemnité pour les dépenses occasionnées par l’exercice raisonnable de ses droits de procédure (let. a) et à une réparation du tort moral subi en raison d’une atteinte particulièrement grave à sa personnalité, notamment en cas de privation de liberté (let. c). L’autorité pénale peut réduire ou refuser l’indemnité ou la réparation du tort moral notamment lorsque le prévenu a provoqué illicitement et fautivement l’ouverture de la procédure ou a rendu plus difficile la conduite de celle-ci (art. 430 al. 1 let. a CPP). L’indemnité selon l’art. 429 al. 1 let. a CPP concerne les dépenses du prévenu pour un avocat de choix (ATF 139 IV 241 consid. 1; ATF 138 IV 205 consid. 1).</w:t>
      </w:r>
    </w:p>
    <w:p>
      <w:r>
        <w:rPr>
          <w:b/>
        </w:rPr>
        <w:t>E. 3.3.4</w:t>
      </w:r>
    </w:p>
    <w:p>
      <w:r>
        <w:t>En vertu de l’art. 453 al. 1 CPP, il convient d’appliquer l’ancienne version de l’art. 429 al. 1 let. a CPP en vigueur au moment où le jugement attaqué a été rendu.</w:t>
      </w:r>
    </w:p>
    <w:p>
      <w:r>
        <w:rPr>
          <w:b/>
        </w:rPr>
        <w:t>E. 3.4</w:t>
      </w:r>
    </w:p>
    <w:p>
      <w:r>
        <w:t>En l’espèce, I.________ n’a pas été défendu par un avocat de choix, mais a bénéficié d’un défenseur d’office dans le cadre de la procédure pénale de première instance. Les frais imputables à la défense d’office font partie des frais de procédure (cf. art. 422 al. 2 let. a CPP), si bien que le prévenu n’a en principe pas à supporter les frais afférents à la défense d’office (cf. art. 426 al. 1 CPP). Il apparaît dès lors que l’intimé n’a pas supporté lui-même les dépenses relatives à un avocat de choix, de sorte qu’il ne saurait prétendre à une indemnité à ce titre, les conditions des art. 429 al. 1 let. a CPP n’étant pas réalisées.</w:t>
      </w:r>
    </w:p>
    <w:p>
      <w:r>
        <w:t>- 9 - Pour le surplus, comme l’a relevé à juste titre le Ministère public, l’entier des frais de procédure a été mis à la charge des prévenus en application de l’art. 426 al. 2 CPP. Ainsi, une indemnité au sens de l’art. 429 CPP ne saurait être allouée à I.________ dans la mesure où ce dernier n’a pas été exonéré du paiement d’une partie des frais de procédure malgré son acquittement de l’infraction de mise en danger de la vie d’autrui (cf. art. 430 al. 1 let. a CPP). Vu le parallélisme entre l’imputation des frais judiciaires et l’allocation de dépens, I.________ n’a droit, de toute manière, à aucune indemnité fondée sur l’art. 429 CPP.</w:t>
      </w:r>
    </w:p>
    <w:p>
      <w:r>
        <w:rPr>
          <w:b/>
        </w:rPr>
        <w:t>E. 4</w:t>
      </w:r>
    </w:p>
    <w:p>
      <w:r>
        <w:t>Compte tenu de ce qui précède, l’appel du Ministère public doit être admis et les chiffres XI et XII du dispositif du jugement doivent être réformés dans le sens des considérants qui précèdent. Les frais d’appel, par 990 fr. (art. 21 al. 1 TFIP [tarif des frais de procédure et indemnités en matière pénale du 28 septembre 2010 ; BLV 312.03.1]), seront laissés à la charge de l’Etat (art. 423 CPP), dans la mesure où l’intimé a notamment déclaré s’en remettre à justice sur le sort de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