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PE22.021832 vom 10. Mai 2023</w:t>
      </w:r>
    </w:p>
    <w:p>
      <w:r>
        <w:t>VD Tribunal cantonal, 2023-05-10, FR</w:t>
      </w:r>
    </w:p>
    <w:p>
      <w:r>
        <w:rPr>
          <w:b/>
        </w:rPr>
        <w:t xml:space="preserve">Quelle: </w:t>
      </w:r>
      <w:r>
        <w:t>https://mcp.opencaselaw.ch/entscheid/vd_gerichte_PE22.021832</w:t>
      </w:r>
    </w:p>
    <w:p>
      <w:r>
        <w:t>FR: VD_GERICHTE PE22.021832 du 10 mai 2023</w:t>
      </w:r>
    </w:p>
    <w:p>
      <w:r>
        <w:t>IT: VD_GERICHTE PE22.021832 del 10 maggio 2023</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l’occurrence, interjeté en temps utile auprès de l’autorité compétente et dans les formes prescrites, par la partie plaignante qui a qualité pour recourir (art. 382 al. 1 CPP), le recours est recevable. Les pièces nouvelles produites sont également recevables (cf. art. 389 al. 3 CPP).</w:t>
      </w:r>
    </w:p>
    <w:p>
      <w:r>
        <w:rPr>
          <w:b/>
        </w:rPr>
        <w:t>E. 2.1</w:t>
      </w:r>
    </w:p>
    <w:p>
      <w:r>
        <w:t>;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w:t>
      </w:r>
    </w:p>
    <w:p>
      <w:r>
        <w:t>Le droit d’être entendu, tel qu’il est garanti par l’art. 29 al. 2 Cst. (Constitution fédérale de la Confédération suisse du 18 avril 1999 ; RS 101), comprend notamment pour le justiciable le droit de s’exprimer sur les éléments pertinents avant qu’une décision touchant sa situation juridique soit prise,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TF 6B_528/2019 du 17 juillet 2019 consid. 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6B_191/2021 du 11 août 2021 consid. 7.2.2 ; TF 6B_1007/2020 du 13 avril 2021 consid. 2.3 ; TF 6B_290/2020 du 17 juillet 2020 consid. 2.2 et les réf.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 TF 6B_1014/2020 du 10 février 2021 consid. 2.1.2 ; TF 6B_290/2020 précité et les réf. citées).</w:t>
      </w:r>
    </w:p>
    <w:p>
      <w:r>
        <w:t>- 6 -</w:t>
      </w:r>
    </w:p>
    <w:p>
      <w:r>
        <w:rPr>
          <w:b/>
        </w:rPr>
        <w:t>E. 2.3</w:t>
      </w:r>
    </w:p>
    <w:p>
      <w:r>
        <w:t>En l’espèce, conformément à la jurisprudence susmentionnée, il convient de relever que le droit de participer à l’administration des preuves n’existe pas au stade de la non-entrée en matière, soit avant l’ouverture formelle de l’instruction. Le Ministère public pouvait ainsi statuer sur la base de la seule audition de B.Q.________, sans donner l’occasion au plaignant de se prononcer sur son contenu et sans donner suite à ses moyens de preuve. Le recourant a pu exercer son droit d’être entendu dans le cadre de la procédure de recours. Ce grief est donc infondé, ce d’autant que, manifestement, ainsi que cela ressort des pièces 8 et 9, le procureur et le conseil du plaignant se sont entretenus au sujet d’un éventuel retrait de plainte, ce qui implique qu’ils ont abordé le contenu de dite audition.</w:t>
      </w:r>
    </w:p>
    <w:p>
      <w:r>
        <w:rPr>
          <w:b/>
        </w:rPr>
        <w:t>E. 3.1</w:t>
      </w:r>
    </w:p>
    <w:p>
      <w:r>
        <w:t>Le recourant fait grief au procureur d’avoir violé les art. 309 et 310 CPP, estimant qu’il y avait matière à instruction.</w:t>
      </w:r>
    </w:p>
    <w:p>
      <w:r>
        <w:rPr>
          <w:b/>
        </w:rPr>
        <w:t>E. 3.2.1</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2e éd., Bâle 2016, n. 4 ad art. 6 CPP et les réf. citées).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6B_317/2018 du 10 août 2018 consid. 3.2 et les réf. citées). S’agissant des faits pertinents,</w:t>
      </w:r>
    </w:p>
    <w:p>
      <w:r>
        <w:t>- 7 -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 8 ad art. 6 CPP et les réf. citées).</w:t>
      </w:r>
    </w:p>
    <w:p>
      <w:r>
        <w:rPr>
          <w:b/>
        </w:rPr>
        <w:t>E. 3.2.2</w:t>
      </w:r>
    </w:p>
    <w:p>
      <w:r>
        <w:t>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w:t>
      </w:r>
    </w:p>
    <w:p>
      <w:r>
        <w:t>- 8 - appartient de se prononcer (ATF 143 IV 241 consid. 2.2.1; ATF 138 IV 86 précité consid. 4.1.2 et les réf. citées ; ATF 137 IV 285 consid. 2.3 et les réf. citées, JdT 2012 IV 160 ; TF 6B_1177/2022 du 21 février 2023 consid.</w:t>
      </w:r>
    </w:p>
    <w:p>
      <w:r>
        <w:rPr>
          <w:b/>
        </w:rPr>
        <w:t>E. 3.3.1</w:t>
      </w:r>
    </w:p>
    <w:p>
      <w:r>
        <w:t>En l’espèce, compte tenu des déclarations contradictoires des parties et en particulier des dénégations de B.Q.________, l’enquête ne pouvait avancer qu’en fonction de la possibilité d’exploiter d’autres moyens de preuve. Or le plaignant n’a pas produit de telles preuves, malgré qu’il en ait fait état dans sa plainte, et son conseil ne les a d’ailleurs jamais invoquées ni relayées non plus. A cela s’ajoute que les preuves en question, soi-disant produites directement en mains de la police – ce qui n’est ni établi ni rendu vraisemblable, le dossier n’en contenant aucune trace –, n’ont pas été produites d’emblées à l’appui du recours, mais ultérieurement. Le plaignant est donc malvenu de reprocher au Ministère public de n’avoir pas retenu de moyens de preuve déterminants. L’appréciation selon laquelle la plainte est inconsistante est ainsi justifiée, eu égard à la jurisprudence qui exige de rendre vraisemblable la commission d’infractions, de simples suppositions non étayées étant insuffisantes pour justifier l’ouverture d’une enquête pénale.</w:t>
      </w:r>
    </w:p>
    <w:p>
      <w:r>
        <w:rPr>
          <w:b/>
        </w:rPr>
        <w:t>E. 3.3.2</w:t>
      </w:r>
    </w:p>
    <w:p>
      <w:r>
        <w:t>Il y a de surcroît lieu d’observer que les pièces, prétendument déjà produites et quoi qu’il en soit produites durant la procédure de recours, ne constituent en aucun cas des indices de la commission d’une infraction justifiant de l’ouverture d’une instruction pénale à l’encontre de B.Q.________. En effet, même si A.Q.________ a invoqué devant le juge civil, en juin 2022 (cf. P. 2 et 3), l’installation d’une caméra espion par son</w:t>
      </w:r>
    </w:p>
    <w:p>
      <w:r>
        <w:t>- 9 - épouse dans leur cuisine, celle-ci a toutefois démenti l’avoir installée et le recourant ne prétend pas qu’une quelconque autre preuve serait susceptible de faire avancer l’enquête. Quant aux échanges de messages entre les parties à la fin du mois de janvier 2022 (cf. P. 4), ils sont incompréhensibles et n’établissent pas l’usage indu qui aurait éventuellement été fait par B.Q.________ d’un ordinateur ou de l’IPad appartenant au plaignant. Il en va de même concernant les échanges entre A.Q.________ et la fille de B.Q.________, ainsi que les échanges entre les parties au mois de décembre 2021 et de janvier 2022 (cf. P. 8d). Par ailleurs, les courriers du conseil du plaignant à celui de B.Q.________ des 18 janvier et 17 février 2022 se limitent à des soupçons, certes formalisés, mais non étayés (cf. P. 5). De plus, le devis en vue de la réparation (impossible) de l’ordinateur de la fille du plaignant est impropre à attester de l’origine du dégât (cf. P. 6, 8a et 8b). Quant au contenu de la pièce 7, il est incompréhensible et inapte à étayer le moindre soupçon. Enfin, le fait que les AirPods de B.Q.________ se soient connectés sur le téléphone portable du plaignant le 9 décembre 2021 ne démontre pas qu’elle aurait eu accès à son compte iCloud afin de connaître le lieu de son rendez-vous professionnel et de s’y rendre à proximité (cf. P. 8c). Au vu de ce qui précède, aucun des moyens de preuves produits par le recourant n’est de nature à étayer un soupçon suffisant de la commission d’une quelconque infraction par B.Q.________, de sorte qu’il se justifiait de refuser d’entrer en matière.</w:t>
      </w:r>
    </w:p>
    <w:p>
      <w:r>
        <w:rPr>
          <w:b/>
        </w:rPr>
        <w:t>E. 4</w:t>
      </w:r>
    </w:p>
    <w:p>
      <w:r>
        <w:t>En définitive, le recours, manifestement mal fondé, doit être rejeté sans échange d’écritures (art. 390 al. 2 CPP) et l’ordonnance du 2 mars 2023 confirmée. Vu l’issue de la cause, les frais de la procédure de recours, constitués en l’espèce de l’émolument d’arrêt (art. 422 al. 1 CPP), par 990 fr. (art. 20 al. 1 TFIP [tarif des frais de procédure et indemnités en matière pénale du 28 septembre 2010 ; BLV 312.03.1]), seront mis à la charge du recourant.</w:t>
      </w:r>
    </w:p>
    <w:p>
      <w:r>
        <w:t>- 10 - Par ces motifs, la Chambre des recours pénale prononce : I. Le recours est rejeté. II. L’ordonnance du 2 mars 2023 est confirmée. III. Les frais d’arrêt, par 990 fr. (neuf cent nonante francs), sont mis à la charge du recourant A.Q.________. IV. L’arrêt est exécutoire. La présidente : La greffière : Du Le présent arrêt, dont la rédaction a été approuvée à huis clos, est notifié, par l’envoi d’une copie complète, à : - Me Vincent Demierre, avocat (pour A.Q.________), - B.Q.________, - Ministère public central, et communiqué à : - M. le Procureur de l’arrondissement du Nord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