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PE22.021777 vom 22. Mai 2023</w:t>
      </w:r>
    </w:p>
    <w:p>
      <w:r>
        <w:t>VD Tribunal cantonal, 2023-05-22, FR</w:t>
      </w:r>
    </w:p>
    <w:p>
      <w:r>
        <w:rPr>
          <w:b/>
        </w:rPr>
        <w:t xml:space="preserve">Quelle: </w:t>
      </w:r>
      <w:r>
        <w:t>https://mcp.opencaselaw.ch/entscheid/vd_gerichte_PE22.021777</w:t>
      </w:r>
    </w:p>
    <w:p>
      <w:r>
        <w:t>FR: VD_GERICHTE PE22.021777 du 22 mai 2023</w:t>
      </w:r>
    </w:p>
    <w:p>
      <w:r>
        <w:t>IT: VD_GERICHTE PE22.021777 del 22 maggio 2023</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BLV 173.01]).</w:t>
      </w:r>
    </w:p>
    <w:p>
      <w:r>
        <w:rPr>
          <w:b/>
        </w:rPr>
        <w:t>E. 1.2</w:t>
      </w:r>
    </w:p>
    <w:p>
      <w:r>
        <w:t>En l’espèce, le recours a été interjeté en temps utile auprès de l’autorité compétente par la partie plaignante qui a qualité pour recourir (art. 382 al. 1 CPP).</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2.1</w:t>
      </w:r>
    </w:p>
    <w:p>
      <w:r>
        <w:t>- 4 -</w:t>
      </w:r>
    </w:p>
    <w:p>
      <w:r>
        <w:rPr>
          <w:b/>
        </w:rPr>
        <w:t>E. 2.1.1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2.1.2</w:t>
      </w:r>
    </w:p>
    <w:p>
      <w:r>
        <w:t>Le recours s’exerce par le dépôt d’un mémoire écrit et dûment motivé (art. 390 al. 1 et 396 al. 1 CPP). Les exigences de motivation du recours sont posées à l’art. 385 al. 1 CPP. Selon cette</w:t>
      </w:r>
    </w:p>
    <w:p>
      <w:r>
        <w:t>- 5 -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 Summers/Wohlers (éd.), Zürcher Kommentar, Kommentar zur Schweizerischen Strafprozessordnung, 3e éd. 2020, n. 14 ad art. 396 StPO et les réf. cit. ; Guidon, in Niggli/Heer/Wiprächtiger (éd.), Basler Kommentar, Schweizerische Strafprozessordnung, 2e éd. 2014, n. 9c ad art. 396 StPO et les réf. cit. ; Calame, in : Jeanneret et al. [éd.], Commentaire romand, Code de procédure pénale suisse, 2e éd., Bâle 2019, n. 21 ad art. 385 CPP). L’art. 385 al. 2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w:t>
      </w:r>
    </w:p>
    <w:p>
      <w:r>
        <w:t>- 6 - consid. 3.2.2 ; TF 6B_510/2018 du 31 juillet 2018 consid. 1 et les réf. cit. ; cf. aussi CREP 23 mars 2022/193 consid. 1.2).</w:t>
      </w:r>
    </w:p>
    <w:p>
      <w:r>
        <w:rPr>
          <w:b/>
        </w:rPr>
        <w:t>E. 2.1.3</w:t>
      </w:r>
    </w:p>
    <w:p>
      <w:r>
        <w:t>Aux termes de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L'atteinte au sens de l'art. 126 CP présuppose une certaine intensité (TF 6B_1191/2019 du 4 décembre 2019 consid. 3.1). Peuvent être qualifiées de voies de fait, une gifle, un coup de poing ou de pied, de fortes bourrades avec les mains ou les coudes (TF 6B_782/2020 du 7 janvier 2021 consid. 3.1 ; TF 6B_1064/2019 du 16 janvier 2020 consid. 2.2 ; TF 6B_386/2019 du 25 septembre 2019 consid. 2.1).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Si l’injurié a riposté immédiatement par une injure ou par des voies de fait, le juge pourra exempter de toute peine les deux délinquants ou l’un d’eux (al. 3). Aux termes de l'art. 261bis CP, se rend coupable de discrimination raciale celui qui, publiquement, aura incité à la haine ou à la</w:t>
      </w:r>
    </w:p>
    <w:p>
      <w:r>
        <w:t>- 7 - discrimination envers une personne ou un groupe de personnes en raison de leur appartenance raciale, ethnique ou religieuse (al. 1) ; celui qui, publiquement, aura propagé une idéologie visant à rabaisser ou à dénigrer de façon systématique les membres d'une race, d'une ethnie ou d'une religion (al. 2) ou encore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(al. 4). Une affirmation xénophobe, de mauvais goût, amorale ou choquante sur le plan moral ou encore inconvenante ou non civilisée en rapport avec une ethnie, une race ou une religion n'est pas encore constitutive de discrimination raciale (Niggli, Discrimination raciale, Un commentaire au sujet de l'art. 261bis CP et de l'art. 171c CPM, 2000, n. 945 p. 250). C'est ainsi que les termes tels que "Sau" (cochon), "Dreck" (... de merde) et autres similaires, utilisés de manière répandue dans le langage allemand dans le cadre d'expressions de mauvaise humeur et de manifestations de mécontentement, pour offenser une autre personne en raison de son sexe, de son orientation sexuelle ou de particularités physiques ou intellectuelles, étaient ressenties comme de simples injures et non comme des atteintes à la dignité humaine. Il n'en allait pas différemment s'agissant de l'utilisation de ces mêmes termes et autres similaires en relation avec des nationalités, respectivement des ethnies particulières. De telles expressions étaient, en tout cas aussi longtemps qu'elles étaient dirigées contre une personne concrète, comprises par un tiers moyen non averti comme des atteintes à l'honneur motivées par des considérations xénophobes plus ou moins primitives, et non comme des atteintes racistes à la dignité humaine. Elles ne remplissaient ainsi pas les éléments constitutifs de l'infraction à l'art. 261bis al. 4 première partie CP (ATF 143 IV 308 consid. 4.1 ; ATF 140 IV 67 consid. 2.5.2 p. 73 et les références citées).</w:t>
      </w:r>
    </w:p>
    <w:p>
      <w:r>
        <w:t>- 8 -</w:t>
      </w:r>
    </w:p>
    <w:p>
      <w:r>
        <w:rPr>
          <w:b/>
        </w:rPr>
        <w:t>E. 2.1.4</w:t>
      </w:r>
    </w:p>
    <w:p>
      <w:r>
        <w:t>En l’occurrence, le recourant oppose sa version des faits à celle de S.________ et se contente de tenter de démontrer les « incohérences » dans le récit de cette dernière, ce qui est insuffisant. En effet, il n’indique pas précisément les points essentiels du raisonnement du procureur qu’il conteste ni les motifs qui commanderaient – en fait ou en droit – de prendre une autre décision. En particulier, à aucun moment, il ne fait valoir qu’il existe des indices concrets que les infractions reprochées sont réalisées ni ne revient sur l’opportunité d’ouvrir une instruction pénale. ll s’ensuit que l’acte de recours ne satisfait pas aux exigences de motivation de l’art. 385 al. 1 CPP. Un tel vice ne saurait de plus justifier qu’un délai supplémentaire soit fixé au recourant pour compléter son acte en application de l’art. 385 al. 2 CPP. Peu importe toutefois, car le recours devrait de toute manière être rejeté, pour les motifs qui suivent. En effet, bien que le recourant mette en doute les dires du témoin E.________, belle-mère de la prévenue, qui a déclaré avoir vu le recourant pousser S.________ avec ses bras (P. 4), il n’expose pas quelles mesures d’instruction seraient de nature à rendre vraisemblable l’injure prétendument proférée par l’intimée, ainsi que la fausseté de son accusation, selon laquelle il lui aurait porté un coup d’épaule. Force est également de constater que le témoignage écrit produit par le recourant (cf. Annexe 9) n’apporte aucun élément probant, sur l’injure, les voies de fait, la discrimination et incitation à la haine et la calomnie, V.________ n’ayant pas assisté aux faits en cause et son témoignage portant davantage sur le caractère du plaignant. Partant, il convient de constater que les déclarations des parties sont contradictoires en tous points et de rappeler que d’après le seul témoin des faits, ce serait au demeurant le plaignant qui aurait poussé S.________ avec ses bras et non l’inverse. Pour le surplus, on relèvera que les mots « sale Suisse mal éduqué », dont il n’est pas établi qu’ils aient été proférés, s’ils avaient été prononcés dans ce contexte d’altercation, pour peu qu’ils soient constitutifs d’injure, seraient couverts par l’art. 177 al. 2 CP. Par ailleurs, ces propos ne sont pas constitutifs de discrimination et incitation à la haine, dans la mesure où ils ne visent pas à porter atteinte à la dignité des ressortissants suisses</w:t>
      </w:r>
    </w:p>
    <w:p>
      <w:r>
        <w:t>- 9 - dans leur ensemble. Il résulte de ce qui précède qu’une condamnation de S.________ peut être exclue. Au vu de ce qui précède, l’ordonnance de non-entrée en matière ne prête pas le flanc à la critique et doit dès lors être confirmée.</w:t>
      </w:r>
    </w:p>
    <w:p>
      <w:r>
        <w:rPr>
          <w:b/>
        </w:rPr>
        <w:t>E. 3</w:t>
      </w:r>
    </w:p>
    <w:p>
      <w:r>
        <w:t>En définitive, le recours de G.________, manifestement mal fondé, doit être rejeté dans la mesure où il est recevable, sans échange d’écritures (art. 390 al. 2 CPP), et l’ordonnance entreprise confirmée. Vu le sort du recours, les frais d’arrêt, par 990 fr. (art. 20 al. 1 TFIP [tarif des frais de procédure et indemnités en matière pénale du 28 septembre 2010 ; BLV 312.03.1]), seront mis à la charge du recourant, qui succombe (art. 428 al. 1 CPP). Ces frais seront partiellement compensés avec le montant des sûretés de 550 fr. déjà versés par le recourant, le solde restant à sa charge s’élevant à 440 francs. Par ces motifs, la Chambre des recours pénale prononce : I. Le recours est rejeté dans la mesure où il est recevable. II. L’ordonnance du 24 novembre 2022 est confirmée. III. Les frais d’arrêt, par 990 fr. (neuf cent nonante francs), sont mis à la charge du recourant. IV. L’avance de frais de 550 fr. (cinq cent cinquante francs) versée par G.________ est imputée sur les frais mis à sa charge au chiffre III ci-dessus, le solde dû s’élevant à 440 fr. (quatre cent quarante francs). V. L’arrêt est exécutoire.</w:t>
      </w:r>
    </w:p>
    <w:p>
      <w:r>
        <w:t>- 10 - La présidente : La greffière : Du Le présent arrêt, dont la rédaction a été approuvée à huis clos, est notifié, par l'envoi d'une copie complète, à : - M. G.________, - Ministère public central, et communiqué à : - M. le Procureur de l’arrondissement de Lausanne, - Mme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