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PE22.021743 vom 19. Februar 2024</w:t>
      </w:r>
    </w:p>
    <w:p>
      <w:r>
        <w:t>VD Tribunal cantonal, 2024-02-19, FR</w:t>
      </w:r>
    </w:p>
    <w:p>
      <w:r>
        <w:rPr>
          <w:b/>
        </w:rPr>
        <w:t xml:space="preserve">Quelle: </w:t>
      </w:r>
      <w:r>
        <w:t>https://mcp.opencaselaw.ch/entscheid/vd_gerichte_PE22.021743</w:t>
      </w:r>
    </w:p>
    <w:p>
      <w:r>
        <w:t>FR: VD_GERICHTE PE22.021743 du 19 février 2024</w:t>
      </w:r>
    </w:p>
    <w:p>
      <w:r>
        <w:t>IT: VD_GERICHTE PE22.021743 del 19 febbraio 2024</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(CREP 15 novembre 2023/932 consid. 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w:t>
      </w:r>
    </w:p>
    <w:p>
      <w:r>
        <w:t>- 6 - 312.0]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d’I.________ est recevable.</w:t>
      </w:r>
    </w:p>
    <w:p>
      <w:r>
        <w:rPr>
          <w:b/>
        </w:rPr>
        <w:t>E. 2.1</w:t>
      </w:r>
    </w:p>
    <w:p>
      <w:r>
        <w:t>Le recourant conteste d’abord que des aveux soient une condition de passage en exécution anticipée de peine. Dans tous les cas, se fondant sur les lettres d’excuses adressées aux plaignantes les 16 décembre 2023 et 3 janvier 2024, il considère que, bien que ces lettres ne listent pas les faits reprochés, elles s’apparenteraient à tout le moins à des aveux partiels ou de principe. Il conteste ensuite l’existence d’un risque de collusion, dès lors que l’instruction serait sur le point d’être close, qu’un acte d’accusation allait prochainement être dressé, que tous les témoins auraient été entendus et que les parties plaignantes auraient été entendues à deux reprises. Il n’y aurait donc aucun danger concret et sérieux de manœuvres, propre à entraver la manifestation de la vérité. Partant, il n’y aurait pas de risque concret de collusion propre à lui dénier l’exécution anticipée de peine. Quoi qu’il en soit, en application de l’art. 236 al. 4 CPP, le recourant pourrait se voir interdire toutes correspondances écrites, hormis celles destinées à son défenseur et aux autorités. De même, il serait selon lui aisé de restreindre ses possibilités d’appels téléphoniques.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w:t>
      </w:r>
    </w:p>
    <w:p>
      <w:r>
        <w:t>- 7 -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1B_107/2020 du 24 mars 2020 consid. 2.1 ;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TF 1B_186/2018 du 8 mai 2018 consid. 2.1; TF 1B_400/2017 du 18 octobre 2017 consid. 2.1; TF 1B_127/2017 du 20 avril 2017 consid. 2.1). L’art. 236 al. 1 CPP n’impose pas que le prévenu passe aux aveux pour bénéficier du régime de l’exécution anticipée de sa peine, quand bien même il est logique de concevoir que seul le prévenu qui</w:t>
      </w:r>
    </w:p>
    <w:p>
      <w:r>
        <w:t>- 8 - reconnaît les faits fasse en principe une telle demande, des aveux complets facilitant en outre la mise en œuvre du régime de l’exécution anticipée sous l’angle du risque de collusion ; cela étant, un aveu seulement partiel ne s’oppose pas à l’exécution anticipée de la peine, la question du risque de collusion devant toutefois être alors examinée avec attention (cf. Dupuis et alii [éd.], Petit commentaire CP, 2e éd., Bâle 2017, n. 9 ad art. 236 CPP et réf. cit., spéc. TF 6B_90/2012 du 21 mars 2012 ; CREP 18 janvier 2021/44 consid. 2.3, CREP 6 septembre 2021/816 consid.2.2.2).</w:t>
      </w:r>
    </w:p>
    <w:p>
      <w:r>
        <w:rPr>
          <w:b/>
        </w:rPr>
        <w:t>E. 2.3</w:t>
      </w:r>
    </w:p>
    <w:p>
      <w:r>
        <w:t>En l’espèce, on relèvera d’abord que l’avancement de la procédure, l’instruction touchant à sa fin, ne s’oppose pas à l’exécution anticipée de la peine. Ensuite, comme le fait valoir le recourant, il est exact que le fait de passer aux aveux n’est pas une condition pour bénéficier du régime de l’exécution anticipée de peine. Quant au risque de collusion, il n’apparaît à ce stade ni concret ni sérieux. En effet, la procureure ne fait pas état d’une situation où le recourant aurait tenté par le passé de faire pression sur la victime ou sa mère et n’indique pas que l’une et/ou l’autre se seraient trouvées dans une situation d’emprise. Les faits sont anciens et les parties en cause ne s’étaient pas vues depuis quatre ans au moment du dépôt de la plainte pénale. Quand bien même la mère de J.Q.________ a eu un autre enfant avec le recourant, celui-ci s’en est totalement désintéressé, cette dernière ignorant même où il se trouvait. Ce n’est que par le biais des réseaux sociaux qu’elle a appris que le recourant était revenu vivre en Suisse, étant précisé que celui-ci est ressortissant de République dominicaine, et qu’il se serait marié à une suissesse. Au vu de ce qui précède, il n’existe en l’état pas de circonstances particulières faisant apparaître un danger concret de collusion, propre à entraver la manifestation de la vérité, au sens de la jurisprudence précitée. Il s’ensuit qu’une exécution anticipée de peine aurait dû être ordonnée.</w:t>
      </w:r>
    </w:p>
    <w:p>
      <w:r>
        <w:t>- 9 -</w:t>
      </w:r>
    </w:p>
    <w:p>
      <w:r>
        <w:rPr>
          <w:b/>
        </w:rPr>
        <w:t>E. 3</w:t>
      </w:r>
    </w:p>
    <w:p>
      <w:r>
        <w:t>En définitive, le recours doit être admis et l’ordonnance attaquée réformée en ce sens qu’I.________ est autorisé à exécuter sa peine de manière anticipée, dès qu’une place sera disponible dans un établissement approprié. L’ordonnance sera confirmée pour le surplus.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450 fr. pour 2h30 d’activité nécessaire d’avocat au tarif horaire de 180 fr., montant auquel il convient d’ajouter des débours forfaitaires à concurrence de 2 %, par 9 fr., plus la TVA (8,1%), par 37 fr. 20, soit à 497 fr. au total en chiffres arrondis, seront laissés à la charge de l'Etat (art. 428 al. 4 CPP). Par ces motifs, la Chambre des recours pénale prononce : I. Le recours est admis. II. L’ordonnance du 10 janvier 2024 est réformée en ce sens qu’I.________ est autorisé à exécuter sa peine de manière anticipée dès qu’une place sera disponible dans un établissement pénitentiaire approprié. L’ordonnance est confirmée pour le surplus. III. L’indemnité allouée au défenseur d’office d’I.________ est fixée à 497 fr. (quatre cent nonante-sept francs). IV. Les frais d’arrêt, par 990 fr. (neuf cent nonante francs), ainsi que l’indemnité due au défenseur d’office d’I.________, par 497 fr. (quatre cent nonante-sept francs), sont laissés à la charge de l’Etat.</w:t>
      </w:r>
    </w:p>
    <w:p>
      <w:r>
        <w:t>- 10 - V. L’arrêt est exécutoire. Le président : La greffière : Du Le présent arrêt, dont la rédaction a été approuvée à huis clos, est notifié, par l'envoi d'une copie complète, à : - Me Stève Kalbermatten, avocat (pour I.________), - Ministère public central ; et communiqué à : - Mme la Procureure de l’arrondissement de Lausanne, - Me Loraine Michaud Champendal, avocate (pour J.Q.________), - Me Laurinda Konde, avocate (pour E.Q.________),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