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PE22.021725 vom 13. Juni 2024</w:t>
      </w:r>
    </w:p>
    <w:p>
      <w:r>
        <w:t>VD Tribunal cantonal, 2024-06-13, FR</w:t>
      </w:r>
    </w:p>
    <w:p>
      <w:r>
        <w:rPr>
          <w:b/>
        </w:rPr>
        <w:t xml:space="preserve">Quelle: </w:t>
      </w:r>
      <w:r>
        <w:t>https://mcp.opencaselaw.ch/entscheid/vd_gerichte_PE22.021725</w:t>
      </w:r>
    </w:p>
    <w:p>
      <w:r>
        <w:t>FR: VD_GERICHTE PE22.021725 du 13 juin 2024</w:t>
      </w:r>
    </w:p>
    <w:p>
      <w:r>
        <w:t>IT: VD_GERICHTE PE22.021725 del 13 giugno 2024</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w:t>
      </w:r>
    </w:p>
    <w:p>
      <w:r>
        <w:t>Interjeté dans le délai légal, auprès de l’autorité compétente, par le prévenu qui a la qualité pour recourir (art. 382 al. 1 CPP), et dans les formes prescrites (art. 385 al. 1 CPP), le recours déposé par X.________ est recevable.</w:t>
      </w:r>
    </w:p>
    <w:p>
      <w:r>
        <w:rPr>
          <w:b/>
        </w:rPr>
        <w:t>E. 2.1</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- 5 -</w:t>
      </w:r>
    </w:p>
    <w:p>
      <w:r>
        <w:rPr>
          <w:b/>
        </w:rPr>
        <w:t>E. 2.2</w:t>
      </w:r>
    </w:p>
    <w:p>
      <w:r>
        <w:t>Dès lors que le recours porte uniquement sur les conséquences économiques accessoires d’une décision de classement et que le montant litigieux est inférieur à 5'000 fr., il relève de la compétence d’un membre de la Chambre des recours pénale du Tribunal cantonal statuant comme juge unique.</w:t>
      </w:r>
    </w:p>
    <w:p>
      <w:r>
        <w:rPr>
          <w:b/>
        </w:rPr>
        <w:t>E. 3.1</w:t>
      </w:r>
    </w:p>
    <w:p>
      <w:r>
        <w:t>Invoquant une violation de la présomption d’innocence et de l’art. 426 al. 2 CPP, le recourant conteste la mise à sa charge des frais de procédure de première instance, par 150 francs. Il souligne que le Ministère public a lui-même tenu pour insuffisamment établis les faits reprochés s’agissant de l’infraction de menaces qualifiées et rappelle contester vigoureusement les faits qui pourraient selon la Procureure être constitutifs de voies de faits. Au demeurant, il fait valoir une violation de son droit d’être entendu, estimant que l’ordonnance querellée ne serait pas suffisamment motivée, puisqu’elle omet de citer l’art. 426 al. 2 CPP et n’explique pas pour quelles raisons cette norme trouverait application.</w:t>
      </w:r>
    </w:p>
    <w:p>
      <w:r>
        <w:rPr>
          <w:b/>
        </w:rPr>
        <w:t>E. 3.2.1</w:t>
      </w:r>
    </w:p>
    <w:p>
      <w:r>
        <w:t>Le droit d'être entendu, garanti par les art. 29 al. 2 Cst.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146 II 335 consid. 5.1 ; ATF 143 IV 40 consid. 3.4.3 ; ATF 141 IV 249 consid. 1.3.1 ; TF 6B_1365/2022 du 25 janvier 2024 consid. 4.1). Ce devoir est également consacré à l'art. 80 al. 2 CPP, qui n'a toutefois pas de portée propre (TF 1B_16/2020 du 24 juin 2020 consid. 2.1). Pour satisfaire à ces exigences, il suffit que l'autorité mentionne, au moins brièvement, les motifs qui l'ont guidée et sur lesquels elle a fondé son raisonnement, de manière que l'intéressé puisse se rendre compte de la portée de celle-ci et l'attaquer en connaissance de cause (ATF 146 II 335 consid. 5.1 ; TF 7B_677/2023 du 24 novembre 2023 consid. 2.2).</w:t>
      </w:r>
    </w:p>
    <w:p>
      <w:r>
        <w:t>- 6 -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147 IV 340 consid. 4.11 ; ATF 142 II 218 consid. 2.8.1). Le droit d’être entendu peut donc être relativisé dans une certaine mesure en fonction de circonstances particulières de la cause et lorsque le renvoi constituerait une vaine formalité et aboutirait à un allongement inutile de la procédure (ATF 147 IV 340 précité ; TF 6B_659/2022 du 17 mai 2023 consid. 3.2).</w:t>
      </w:r>
    </w:p>
    <w:p>
      <w:r>
        <w:rPr>
          <w:b/>
        </w:rPr>
        <w:t>E. 3.2.2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réf. cit.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réf. cit. ; TF 6B_886/2018 du 31</w:t>
      </w:r>
    </w:p>
    <w:p>
      <w:r>
        <w:t>- 7 -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3.3</w:t>
      </w:r>
    </w:p>
    <w:p>
      <w:r>
        <w:t>En l’espèce, si l’ordonnance querellée ne mentionne pas expressément l’art. 426 al. 2 CPP, on comprend néanmoins clairement que le Ministère public a fait usage de cette disposition, dès lors qu’il a retenu que le recourant avait, par son comportement illicite, donné lieu à l’ouverture de l’action pénale contre lui, de sorte qu’il devait en supporter les frais. En revanche, la Procureure n’indique pas explicitement quel comportement illicite elle retient pour justifier la mise des frais à la charge du recourant. La question de la violation du droit d’être entendu, en lien avec la motivation de l’ordonnance, se pose dès lors. Elle peut néanmoins être laissée ouverte, le recours devant de toute manière être admis pour les raisons qui suivent.</w:t>
      </w:r>
    </w:p>
    <w:p>
      <w:r>
        <w:t>- 8 - Il apparaît en effet que le Ministère public a libéré le recourant des infractions de voies de fait et de menaces qualifiées. Qui plus est, le recourant a toujours fermement contesté les faits qui lui étaient reprochés. Dans ce contexte, mettre les frais à la charge du recourant reviendrait – en l’absence d’un autre comportement illicite, non évoqué en l’espèce – à considérer qu’il se serait néanmoins rendu coupable de l’infraction qui lui était reprochée, ce qui équivaut à une violation de la présomption d’innocence. Partant, le Ministère public ne pouvait pas mettre les frais de la procédure à la charge du recourant. Le recours sera admis sur ce point.</w:t>
      </w:r>
    </w:p>
    <w:p>
      <w:r>
        <w:rPr>
          <w:b/>
        </w:rPr>
        <w:t>E. 4.1</w:t>
      </w:r>
    </w:p>
    <w:p>
      <w:r>
        <w:t>Selon le recourant, le Ministère public a retenu à tort qu’il ne s’était « pas exprimé » sur la possibilité de faire valoir une indemnité au sens de l’art. 429 CPP. Il indique avoir, le 20 février 2024, chiffré ses prétentions selon l’art. 429 al. 1 let. a CPP à 1'350 fr. 70.</w:t>
      </w:r>
    </w:p>
    <w:p>
      <w:r>
        <w:rPr>
          <w:b/>
        </w:rPr>
        <w:t>E. 4.2.1</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144 IV 207 consid. 1.8.2 ; TF 6B_132/2022 du 3 mars 2023 consid. 2.1). L’indemnité selon l’art. 429 al. 1 let. a CPP concerne les dépenses du prévenu pour un avocat de choix (ATF 139 IV 241 consid. 1 ; ATF 138 IV 205 consid. 1 ; TF 6B_197/2022 du 25 mai 2022 consid. 2.2). L’allocation d’une telle indemnité n’est pas limitée aux cas de défense obligatoire visés par l’art. 130 CPP. Elle peut être accordée dans les cas où le recours à un avocat apparaît tout simplement raisonnable. L’Etat ne</w:t>
      </w:r>
    </w:p>
    <w:p>
      <w:r>
        <w:t>- 9 -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(ATF 142 IV 45 précité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consid. 2.3.5 ; TF 6B_1381/2021 du 7 septembre 2022 consid. 3.3.1). Selon la jurisprudence constante, pour une affaire de difficulté moyenne, l’indemnisation est fixée au tarif horaire de 300 fr. pour un avocat (CREP 29 décembre 2023/1064 consid. 2.2.2 ; CAPE 25 avril 2022/171 ; CAPE 12 décembre 2019/428 ; CAPE 21 novembre 2018/384).</w:t>
      </w:r>
    </w:p>
    <w:p>
      <w:r>
        <w:rPr>
          <w:b/>
        </w:rPr>
        <w:t>E. 4.2.2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(art. 423 à 428 CPP) (ATF 145 IV 268 consid. 1.2 ; TF 6B_248/2022 du 26 octobre 2022 consid. 1.2). Dans cette mesure, la décision sur les frais</w:t>
      </w:r>
    </w:p>
    <w:p>
      <w:r>
        <w:t>- 10 - préjuge de la question de l’indemnisation (ATF 144 IV 207 précité consid. 1.8.2 ; ATF 137 IV 352 consid. 2.4.2).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précité consid. 1.2 ; ATF 144 IV 207 précité consid. 1.8.2 ; ATF 137 IV 352 précité consid. 2.4.2 ; TF 6B_248/2022 précité consid. 1.2).</w:t>
      </w:r>
    </w:p>
    <w:p>
      <w:r>
        <w:rPr>
          <w:b/>
        </w:rPr>
        <w:t>E. 4.3</w:t>
      </w:r>
    </w:p>
    <w:p>
      <w:r>
        <w:t>En l’espèce, par courrier du 20 février 2024, X.________ a requis l’allocation d’une indemnité à forme de l’art. 429 al. 1 let. a CPP, à hauteur de 1'350 fr. 70. C’est donc à tort que l’ordonnance querellée retient qu’il ne s’est pas exprimé à cet égard. Le recours doit être admis pour ce motif également. Afin de garantir le principe de la double instance, l’ordonnance sera annulée et le dossier renvoyé au Ministère public afin qu’il statue sur la prétention au sens de l’art. 429 CPP du recourant. Par surabondance, dans ses déterminations du 10 juin 2024, le Ministère public fait valoir que la cause ne relèverait pas d’une complexité telle que les services d’un avocat étaient requis. La Procureure ajoute que le recourant n’a produit aucune pièce attestant de l’impact qu’aurait eu la procédure sur sa vie personnelle et professionnelle. La seule mesure de contrainte dont il aurait fait l’objet serait un mandat de comparution. Ainsi, les désagréments qui lui auraient été causés par la procédure demeureraient objectivement faibles et ne dépasseraient pas les simples inconvénients inhérents à ce type de procédure. L’indemnité requise devrait par conséquent être refusée. Ce raisonnement ne saurait être suivi. L’instruction pénale ouverte contre le recourant concernait les infractions de menaces qualifiées et de voies de fait, soit un délit et une contravention. Si la cause ne présente effectivement pas de complexité particulière, on ne saurait pour autant exclure, sur le principe, toute indemnisation. En effet, l’intervention de son défenseur s’est révélée nécessaire, puisqu’elle a permis son acquittement complet, en lieu et place de l’ordonnance pénale</w:t>
      </w:r>
    </w:p>
    <w:p>
      <w:r>
        <w:t>- 11 - que le Ministère public entendait initialement rendre en parallèle d’un classement.</w:t>
      </w:r>
    </w:p>
    <w:p>
      <w:r>
        <w:rPr>
          <w:b/>
        </w:rPr>
        <w:t>E. 5</w:t>
      </w:r>
    </w:p>
    <w:p>
      <w:r>
        <w:t>En définitive, le recours doit être admis, l’ordonnance querellée annulée et le dossier de la cause renvoyé au Ministère public de Lausanne pour qu’il procède dans le sens des considérants. Vu l’issue du recours, les frais de la procédure, constitués en l’espèce du seul émolument d'arrêt, par 990 fr. (art. 20 al. 1 TFIP [tarif des frais de procédure et indemnités en matière pénale du 28 septembre 2010 ; BLV 312.03.1]), seront laissés à la charge de l’Etat (art. 423 al. 1 CPP). Le recourant, qui a procédé avec l’assistance d’un défenseur de choix et qui a obtenu gain de cause, a droit à une indemnité pour les dépenses occasionnées par la procédure de recours (art. 429 al. 1 let. a CPP), à la charge de l’Etat. Le défenseur de X.________ fait état de 4h09 d'activité au tarif horaire de 350 francs. Il convient de retrancher 30 minutes de recherches juridiques concernant l’art. 429 al. 1 let. a nCPP, cette nouvelle disposition n’étant pas applicable en l’espèce. L’opération intitulée « révision du dossier et rédaction du recours » sera également réduite de 30 minutes. S’agissant du tarif horaire, il sera arrêté à 300 fr., montant qui se situe dans la moyenne de la fourchette de 250 fr. à 350 fr. prévue par l’art. 26a al. 3 TFIP, la cause ne présentant pas de difficultés particulières. Cette indemnité sera donc fixée à 945 fr., montant auquel il convient d’ajouter des débours forfaitaires à concurrence de 2 % des honoraires admis (art. 19 al. 2 TDC [tarif des dépens en matière civile du 23 novembre 2010 ; BLV 270.11.6], applicable par renvoi de l’art. 26a al. 6 TFIP), par 18 fr. 90, plus la TVA au taux de 8,1 %, par 78 fr. 10, soit 1’042 fr. au total en chiffres arrondis.</w:t>
      </w:r>
    </w:p>
    <w:p>
      <w:r>
        <w:t>- 12 - Par ces motifs, la juge unique prononce : I. Le recours est admis. II. L’ordonnance du 1er mars 2024 est annulée. III. Le dossier de la cause est renvoyé au Ministère public de Lausanne pour qu’il procède dans le sens des considérants. IV. Les frais d’arrêt, par 990 fr. (neuf cent nonante francs), sont laissés à la charge de l’Etat. V. Une indemnité de 1’042 fr. (mille quarante-deux francs) est allouée à X.________ pour les dépenses occasionnées par la procédure de recours, à la charge de l’Etat. VI. L’arrêt est exécutoire. La juge unique : La greffière : Du Le présent arrêt, dont la rédaction a été approuvée à huis clos, est notifié, par l'envoi d'une copie complète, à : - Me Mathias Micsiz, avocat (pour X.________), - Ministère public central, et communiqué à : - Mme W.________, - Mme la Procureure de l’arrondissement de Lausanne,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