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PE22.021154 vom 19. August 2024</w:t>
      </w:r>
    </w:p>
    <w:p>
      <w:r>
        <w:t>VD Tribunal cantonal, 2024-08-19, FR</w:t>
      </w:r>
    </w:p>
    <w:p>
      <w:r>
        <w:rPr>
          <w:b/>
        </w:rPr>
        <w:t xml:space="preserve">Quelle: </w:t>
      </w:r>
      <w:r>
        <w:t>https://mcp.opencaselaw.ch/entscheid/vd_gerichte_PE22.021154</w:t>
      </w:r>
    </w:p>
    <w:p>
      <w:r>
        <w:t>FR: VD_GERICHTE PE22.021154 du 19 août 2024</w:t>
      </w:r>
    </w:p>
    <w:p>
      <w:r>
        <w:t>IT: VD_GERICHTE PE22.021154 del 19 agosto 2024</w:t>
      </w:r>
    </w:p>
    <w:p>
      <w:pPr>
        <w:pStyle w:val="Heading2"/>
      </w:pPr>
      <w:r>
        <w:t>Erwägungen</w:t>
      </w:r>
    </w:p>
    <w:p>
      <w:r>
        <w:rPr>
          <w:b/>
        </w:rPr>
        <w:t>E. 4.1</w:t>
      </w:r>
    </w:p>
    <w:p>
      <w:r>
        <w:t>L’appelant conteste s’être rendu coupable d’infraction à la LArm. Il admet avoir possédé les armes et munitions découvertes à son domicile lors de la perquisition effectuée le 15 novembre 2022. Il ne conteste au demeurant pas avoir détenu les munitions qu’il a jetées sur le comptoir de la réception de la Préfecture. Il soutient cependant qu’il aurait acheté les armes et munitions en toute légalité « à l’époque », selon le droit qui était alors en vigueur. Il fait au demeurant valoir que les armes concernées auraient été acquises bien avant le préavis négatif d’acquisition d’armes rendu à son encontre. Enfin, il se prévaut du fait que</w:t>
      </w:r>
    </w:p>
    <w:p>
      <w:r>
        <w:t>- 23 - les armes entreraient dans la catégorie de celles qui peuvent être acquises sans permis selon l’art. 10 LArm.</w:t>
      </w:r>
    </w:p>
    <w:p>
      <w:r>
        <w:rPr>
          <w:b/>
        </w:rPr>
        <w:t>E. 4.2.1</w:t>
      </w:r>
    </w:p>
    <w:p>
      <w:r>
        <w:t>L'art. 33 al. 1 let. a LArm punit quiconque, intentionnellement, sans droit, notamment acquiert, possède, porte des armes, des éléments essentiels d'armes, des composants d'armes spécialement conçus, des accessoires d'armes, des munitions ou des éléments de munitions. Par armes, on entend notamment les armes à feu (art. 4 al. 1 let. a LArm).</w:t>
      </w:r>
    </w:p>
    <w:p>
      <w:r>
        <w:rPr>
          <w:b/>
        </w:rPr>
        <w:t>E. 4.2.2</w:t>
      </w:r>
    </w:p>
    <w:p>
      <w:r>
        <w:t>L’art. 8 al. 1 LArm prévoit, en tant que principe, que toute personne qui acquiert une arme ou un élément essentiel d’armes doit être titulaire d’un permis d’acquisition d’armes. L’art. 10 prévoit une liste d’exceptions à l’obligation d’être titulaire d’un permis d’acquisition d’armes. Un contrat écrit contenant des données sur l’acquéreur, l’aliénateur et l’arme est néanmoins nécessaire (art. 11 LArm). Les armes concernées sont les armes de chasse à un coup et à plusieurs canons, et copies d’armes à un coup se chargeant par la bouche (let. a) ; les fusils à répétition manuelle désignés par le Conseil fédéral, utilisés habituellement pour le tir hors du service et le tir sportif organisés par les sociétés de tir reconnues au sens de la loi du 3 février 1995 sur l’armée ainsi que pour la chasse à l’intérieur du pays (let. b) ; les pistolets à lapins à un coup (let. c) ; les armes à air comprimé ou au CO2 qui développent une énergie à la bouche d’au moins 7,5 joules ou peuvent être confondues avec de véritables armes à feu du fait de leur apparence (let. d) ; les armes factices, armes d’alarme et armes soft air lorsqu’elles peuvent être confondues avec de véritables armes à feu du fait de leur apparence (let. e). L'art. 12 LArm dispose que toute personne ayant acquis légalement une arme, un élément essentiel d'arme, un composant d'arme spécialement conçu ou un accessoire d'arme est autorisé à posséder l'objet ainsi acquis. Cette disposition légale subordonne l'autorisation de posséder une arme ou un élément essentiel d'arme au fait que l'engin ait</w:t>
      </w:r>
    </w:p>
    <w:p>
      <w:r>
        <w:t>- 24 - été acquis en toute légalité (TF 6B_1440/2021 du 26 octobre 2022 consid. 2.1 ; TF 6B_864/2015 du 1er novembre 2016 consid. 1.2). L'examen de la légalité de l'acquisition se fait en vertu du droit applicable au moment de celle-ci (ATF 141 IV 132 consid. 2.4.4 ; TF 6B_864/2015 précité consid. 1.3).</w:t>
      </w:r>
    </w:p>
    <w:p>
      <w:r>
        <w:rPr>
          <w:b/>
        </w:rPr>
        <w:t>E. 4.2.3</w:t>
      </w:r>
    </w:p>
    <w:p>
      <w:r>
        <w:t>La LArm, adoptée le 20 juin 1997, a été révisée à plusieurs reprises. Selon le Message du Conseil fédéral relatif à la loi fédérale concernant l’amélioration de l’échange d’informations entre les autorités au sujet des armes du 13 décembre 2013, le permis d’acquisition d’armes n’était pas requis pour le commerce, entre particuliers, d’armes à feu soumises à autorisation (FF 2014 289 ss, spéc. 302). Des dispositions transitoires ont été adoptées aux art. 42 à 42b LArm. Selon l’art. 42 al. 5 LArm, en vigueur depuis le 12 décembre 2008, toute personne qui est déjà en possession d’armes, d’éléments essentiels d’armes ou de composants d’armes spécialement conçus visés à l’art. 5 al. 2, ou encore d’accessoires d’armes visés à l’art. 5 al. 1, let. g, doit les déclarer dans les trois mois qui suivent la date d’entrée en vigueur de la présente disposition aux autorités cantonales chargées de délivrer les autorisations exceptionnelles. L’art. 42a LArm, entré en vigueur à la même date, prévoit que toute personne qui est déjà en possession d’une arme à feu ou d’un élément essentiel d’arme au sens de l’art. 10 doit déclarer l’objet au service de communication de son canton de domicile dans le délai d’un an à compter de l’entrée en vigueur de la modification du 17 décembre 2004 de la présente loi.</w:t>
      </w:r>
    </w:p>
    <w:p>
      <w:r>
        <w:rPr>
          <w:b/>
        </w:rPr>
        <w:t>E. 4.3</w:t>
      </w:r>
    </w:p>
    <w:p>
      <w:r>
        <w:t>Il est établi et non contesté que R.________ a acquis et détenu les munitions qu’il a jetées sur le comptoir de la réception de la Préfecture ainsi que les armes à feu et munitions découvertes lors de la perquisition effectuée à son domicile le 15 novembre 2022 selon l’inventaire établi le même jour (P. 10). Se pose la question de savoir quand est-ce qu’il a acquis les armes concernées et à quelle catégorie ces armes appartiennent (armes soumises à autorisation ou armes soumises à déclaration).</w:t>
      </w:r>
    </w:p>
    <w:p>
      <w:r>
        <w:t>- 25 - L’appelant soutient opportunément au stade de l’appel avoir acquis toutes les armes découvertes à son domicile le 15 novembre 2022 de manière parfaitement légale selon le droit en vigueur « à l’époque ». Il ne fournit cependant aucune précision quant aux dates, voire aux périodes auxquelles il a acquis les armes. Lors de ses auditions et jusqu’aux débats d’appel, il est volontairement resté vague à cet égard, voire s’est contredit. Il a ainsi déclaré qu’il avait acquis les armes il y a au moins 10- 15 ans (jugement entrepris, p. 4) ou il y a 20 ans (p. 4 supra) ou encore il y a 30 ans (PV aud. 1, p. 4). Il s’est aussi et surtout exprimé au présent lorsqu’il a exposé qu’il était un collectionneur d’armes et qu’il « râcl[ait] toutes les brocantes depuis bientôt 30 ans » (PV aud. 1, p. 4 ; jugement entrepris, p. 3), laissant ainsi entendre à plusieurs reprises qu’il n’avait jamais cessé d’acheter des armes. Il a encore déclaré qu’il avait demandé des permis qui lui avaient été refusés et qu’il avait par la suite cessé d’en demander (PV aud. 1, p. 4). Il a enfin indiqué avoir acheté les munitions qu’il a jetées sur le comptoir de la réception de la Préfecture dans une bourse aux armes en 2020 ou 2021 (PV aud. 1, p. 3). L’appelant s’est encore contredit en déclarant d’abord que la seule arme qui n’avait pas été saisie par la police lors de la perquisition effectuée à son domicile en 2014 était le fusil à pompe 22 Long Rifle, car il était à la cave et que les policiers l’avaient oublié (PV aud. 1, p. 4), puis que le pistolet P220 n’avait pas été saisi en 2014 car il était aussi à la cave (PV aud. 1, p. 5). Enfin, aux débats d’appel, il a déclaré que les policiers n’avaient pas saisi « une caisse d’armes » lors de la perquisition en 2014 (p. 4 supra). Les déclarations de l’appelant sont ainsi dénuées de crédibilité. Elles se heurtent au demeurant aux éléments qui ressortent de l’enquête (P. 91). En effet, à la suite d’une dénonciation pour violences domestiques, l’appelant a fait l’objet d’une perquisition à son domicile le 4 janvier 2014, à l’occasion de laquelle de nombreuses armes ont été découvertes et saisies. Il n’est pas plausible qu’à l’occasion de la perquisition, les policiers aient visité la cave, mais aient oublié une ou plusieurs armes, voire toute une caisse d’armes, parce qu’ils ne seraient pas allés jusqu’au fond de la cave. Il y a dès lors lieu de retenir que toutes les armes à feu et munitions découvertes au domicile de l’appelant le 15 novembre 2022 lors de la perquisition ont été acquises après le 4 janvier 2014. L’appelant ne saurait</w:t>
      </w:r>
    </w:p>
    <w:p>
      <w:r>
        <w:t>- 26 - ainsi se prévaloir du régime juridique qui prévalait avant 2014 (P. 91). A supposer qu’il ait acquis ses armes avant 2014 – ce qui n’est pas retenu en l’espèce – l’appelant aurait en tout état de cause dû annoncer leur possession après l’entrée en vigueur des modifications de la LArm le 12 décembre 2008 en vertu du droit transitoire (cf. consid. 4.2.3 supra). C’est au demeurant en vain que l’appelant soutient, sans apporter la moindre motivation, que toutes les armes saisies entreraient dans la catégorie des armes soumises à déclaration au sens de l’art. 10 LArm. Le fusil à pompe 22 Long Rifle (cf. P. 10 n°2 de l’inventaire) et le pistolet SIG SAUER P220 numéro de série A1074393 (cf. P. 10 n°4 de l’inventaire) sont des armes soumises à autorisation au sens de l’art. 8 al. 1 LArm. Or, R.________ n’avait demandé et obtenu aucun permis pour acquérir ces armes. La Cour de céans observe en outre que l’appelant ne dispose d’aucun contrat écrit s’agissant des autres armes à feu retrouvées à son domicile, alors qu’elles sont soumises à déclaration – hormis le fusil à percussion datant de 1840 qui est une arme ancienne au sens de l’art. 2 al. 2 LArm –, en violation des prescriptions de la LArm (art. 11). Sur le plan subjectif, il est relevé que l’appelant savait qu’il n’avait pas le droit d’acquérir et de détenir des armes, puisqu’en 2014, à la suite de l’épisode de violences domestiques déjà évoqué, toutes ses armes avaient été saisies. Au demeurant, le 14 février 2019, il avait fait l’objet d’un préavis négatif d’acquisition d’arme (P. 91). Ainsi, il ne pouvait pas acquérir des armes en toute légalité. Les griefs soulevés par R.________ sont ainsi mal fondés. Sa condamnation pour infraction à l’art. 33 al. 1 let. a LArm doit dès lors être confirmée.</w:t>
      </w:r>
    </w:p>
    <w:p>
      <w:r>
        <w:rPr>
          <w:b/>
        </w:rPr>
        <w:t>E. 4.4</w:t>
      </w:r>
    </w:p>
    <w:p>
      <w:r>
        <w:t>; ATF 130 IV 143 consid. 3.3.1 ; TF 6B_189/2022 du 30 novembre 2022 consid. 4.1). A cet égard, on ne saurait toutefois émettre des exigences élevées, il suffit qu'il soit vraisemblable qu'il y ait un danger si l'objet n'est pas confisqué en mains de l'ayant droit (ATF 125 IV 185 consid. 2a ; TF 6B_1277/2018 du 21 février 2019 consid. 3.3). De plus, la confiscation d'objets dangereux, en tant qu'elle atteint à la propriété garantie par l'art. 26 Cst., exige le respect du principe de la proportionnalité dans ses deux composantes de l'adéquation au but et de la subsidiarité (TF 6B_35/2017 du 26 février 2018 consid. 9.1 ; TF 6B_279/2011 du 20 juin 2011 consid. 4.1). A titre de disposition spéciale, l'art. 31 al. 3 LArm prévoit notamment que l'autorité confisque définitivement les objets mis sous séquestre s'ils risquent d'être utilisés de manière abusive, notamment si des personnes ont été menacées ou blessées au moyen de ces objets (let. a).</w:t>
      </w:r>
    </w:p>
    <w:p>
      <w:r>
        <w:rPr>
          <w:b/>
        </w:rPr>
        <w:t>E. 5.1</w:t>
      </w:r>
    </w:p>
    <w:p>
      <w:r>
        <w:t>R.________ conclut à sa libération de tout chef d’accusation, sans contester, à titre subsidiaire, les peines qui lui ont été infligées. Il ne s’en prend pas non plus au prononcé d’une assistance de probation et d’une interdiction de posséder ou d’acquérir des armes.</w:t>
      </w:r>
    </w:p>
    <w:p>
      <w:r>
        <w:t>- 27 - Il convient de vérifier d’office les peines prononcées, de même que la règle de conduite et l’assistance de probation auxquelles il a été soumis.</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w:t>
      </w:r>
    </w:p>
    <w:p>
      <w:r>
        <w:rPr>
          <w:b/>
        </w:rPr>
        <w:t>E. 5.2.2</w:t>
      </w:r>
    </w:p>
    <w:p>
      <w:r>
        <w:t>Selon l'art. 19 al. 2 CP, le juge atténue la peine si, au moment d'agir, l'auteur ne possédait que partiellement la faculté d'apprécier le caractère illicite de son acte ou de se déterminer d'après cette appréciation.</w:t>
      </w:r>
    </w:p>
    <w:p>
      <w:r>
        <w:t>- 28 -</w:t>
      </w:r>
    </w:p>
    <w:p>
      <w:r>
        <w:rPr>
          <w:b/>
        </w:rPr>
        <w:t>E. 5.2.3</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5.2.4</w:t>
      </w:r>
    </w:p>
    <w:p>
      <w:r>
        <w:t>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w:t>
      </w:r>
    </w:p>
    <w:p>
      <w:r>
        <w:t>- 29 - moment du jugement, notamment de l'état d'esprit qu'il manifeste. Le pronostic doit être posé sur la base de tous les éléments propres à éclairer l'ensemble du caractère du prévenu et ses chances d'amendement (ATF 134 IV 1 consid. 4.2.1).</w:t>
      </w:r>
    </w:p>
    <w:p>
      <w:r>
        <w:rPr>
          <w:b/>
        </w:rPr>
        <w:t>E. 5.2.5</w:t>
      </w:r>
    </w:p>
    <w:p>
      <w:r>
        <w:t>Selon l'art. 44 al. 2 CP, le juge qui suspend l'exécution de la peine peut ordonner une assistance de probation et imposer des règles de conduite pour la durée du délai d'épreuve. Selon la jurisprudence, la règle de conduite doit être adaptée au but du sursis, qui est l'amendement durable du condamné. Elle doit être conçue en premier lieu dans l'intérêt du condamné et de manière à ce qu'il puisse la respecter ; elle doit par ailleurs avoir un effet éducatif limitant le danger de récidive (ATF 130 IV 1 consid. 2.1). Les règles de conduite imposées en même temps que le sursis et visant à prévenir un risque de récidive peuvent s'avérer déterminantes dans l'établissement du pronostic (ATF 128 IV 193 consid. 3c ; TF 6B_1339/2016 du 23 mars 2017 consid. 1.1.2).</w:t>
      </w:r>
    </w:p>
    <w:p>
      <w:r>
        <w:rPr>
          <w:b/>
        </w:rPr>
        <w:t>E. 5.3.1</w:t>
      </w:r>
    </w:p>
    <w:p>
      <w:r>
        <w:t>En l’espèce, R.________ doit être condamné pour violence ou menace contre les autorités et les fonctionnaires, tentative de violence ou menace contre les autorités et les fonctionnaires ainsi que pour infraction à la LArm. Comme l’a relevé la première juge, par peur de voir une partie de ses biens saisis par les huissiers, en raison d’une dette qu’il savait sienne, R.________ n’a pas hésité à s’en prendre à des représentants de l’Etat, qui ne faisaient qu’exécuter leurs devoirs. Il a non seulement menacé des huissiers mais a aussi menacé de s’en prendre à la vie d’écoliers. Concernant la possession d’armes, malgré une saisie de ses armes effectuée en 2014 dans le contexte de violences domestiques et un préavis négatif rendu en 2019, l’appelant n’a pas hésité à poursuivre ses achats d’armes dans des brocantes, où il était sûr de pouvoir s’en procurer sans avoir à respecter les prescriptions légales. En tenant compte de la légère diminution de responsabilité à laquelle ont conclu les experts psychiatres, sa culpabilité doit dès lors être qualifiée de lourde. Il doit être encore tenu compte du concours d’infractions à charge. A décharge, il</w:t>
      </w:r>
    </w:p>
    <w:p>
      <w:r>
        <w:t>- 30 - convient de prendre en considération qu’une infraction est restée au stade de la tentative. Bien que R.________ n’ait pas d’antécédent, seule une peine privative de liberté entre en ligne de compte. Une peine pécuniaire n’est pas adéquate, ses revenus étant limités et l’appelant versant 500 fr. par mois à l’Office des poursuites en vertu d’un accord qu’il a obtenu avec son créancier afin d’éviter une saisie de ses biens. Le prononcé d’une peine privative de liberté est au demeurant justifié pour des motifs de prévention spéciale. En effet, la prise de conscience de R.________ est très limitée. La perspective d’une privation de liberté apparaît dès lors plus dissuasive que la simple entrave à son patrimoine, étant rappelé que les experts ont conclu à l’existence d’un risque de récidive moyen (P. 72, pp. 19 et 20). La violence ou la menace contre les autorités et les fonctionnaires (art. 285 ch. 1 CP) doit être punie d’une peine privative de liberté de 4 mois. Selon le principe de l'aggravation, il convient d'ajouter 2 mois (peine hypothétique de 3 mois) pour la tentative de violence ou menace contre les autorités et les fonctionnaires et 2 mois (peine hypothétique de 3 mois) pour l’infraction à la LArm (art. 33 al. 1 let. a). La quotité de 8 mois, telle que fixée par la première juge, apparaît ainsi justifiée et doit dès lors être confirmée. L’absence d’antécédent et le besoin de bénéficier d’un appui psychosocial permettent d’octroyer le sursis, avec un délai d’épreuve de 2 ans. Enfin, il se justifie de prononcer une amende à titre de sanction immédiate afin de favoriser la prise de conscience de la gravité des infractions commises, dont la quotité, fixée à 1'200 fr. par la première juge, apparaît adéquate.</w:t>
      </w:r>
    </w:p>
    <w:p>
      <w:r>
        <w:t>- 31 -</w:t>
      </w:r>
    </w:p>
    <w:p>
      <w:r>
        <w:rPr>
          <w:b/>
        </w:rPr>
        <w:t>E. 5.3.2</w:t>
      </w:r>
    </w:p>
    <w:p>
      <w:r>
        <w:t>La règle de conduite et l’assistance de probation auxquelles R.________ a été soumis ont été imposées par la première juge en application des critères légaux (art. 44 al. 2, 93 CP et 94 CP), dans l'intérêt de l'appelant et conformément aux recommandations des experts. Ceux-ci ont en effet relevé que R.________ avait besoin d’une aide psychosociale à sa sortie de prison afin de l’aider à gérer ses affaires administratives et financières. Ils ont en outre précisé que le prononcé d’une règle de conduite sous la forme d’une interdiction de détenir des armes participerait à la diminution du risque de récidive (P. 72, p. 20). Le prononcé d’une règle de conduite et d’une assistance de probation doit ainsi être confirmé.</w:t>
      </w:r>
    </w:p>
    <w:p>
      <w:r>
        <w:rPr>
          <w:b/>
        </w:rPr>
        <w:t>E. 6.1</w:t>
      </w:r>
    </w:p>
    <w:p>
      <w:r>
        <w:t>L’appelant conclut à la restitution de tous les effets saisis et séquestrés. Aux débats d’appel, il a requis, à titre subsidiaire, que les armes soient remises à un musée militaire ou à tout autre établissement rassemblant des collections d’objets ayant un intérêt historique.</w:t>
      </w:r>
    </w:p>
    <w:p>
      <w:r>
        <w:rPr>
          <w:b/>
        </w:rPr>
        <w:t>E. 6.2</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w:t>
      </w:r>
    </w:p>
    <w:p>
      <w:r>
        <w:t>- 32 -</w:t>
      </w:r>
    </w:p>
    <w:p>
      <w:r>
        <w:rPr>
          <w:b/>
        </w:rPr>
        <w:t>E. 6.3</w:t>
      </w:r>
    </w:p>
    <w:p>
      <w:r>
        <w:t>Les graves menaces dont s’est rendu coupable R.________, en jetant des munitions sur le comptoir de la réception de la Préfecture et en déclarant qu’il allait commettre une tuerie dans une école, puis en déclarant qu’il comptait tuer les huissiers s’ils venaient à son domicile, font craindre une mise en danger de la sécurité d’autrui. Comme déjà relevé, les experts ont du reste considéré que le risque de récidive était moyen. Il se justifie dès lors de confisquer les armes et nombreux objet dangereux (épée, sabres, lame courbe, poignard, poignard nazi, crochets métalliques, baïonnettes, carquois avec flèches, pique avec lame cruciforme, lame orientale, pique avec lame cruciforme, fleurets, pointes de lance, machettes, larmes courbées, lames en pointe, lames dentées, lames diverses, piolets de montagne, brise vitre, opinel et couteau de poche) découverts à son domicile lors de la perquisition effectuée le 15 novembre 2022. La confiscation des armes à feu se justifie au demeurant en raison de l’infraction à la LArm. Les armes à feu, accessoires d’armes, munitions et autres objets dangereux qui ont été saisis au domicile de l’appelant lors de la</w:t>
      </w:r>
    </w:p>
    <w:p>
      <w:r>
        <w:t>- 33 - perquisition effectuée le 15 novembre 2022, énumérés dans l’inventaire du même jour aux chiffres 1 à 8 et 12 à 36, seront dès lors définitivement confisqués, en application de l’art. 31 al. 3 LArm, respectivement de l’art. 69 al. 1 CP. Le Bureau des armes, en mains duquel se trouvent les armes, accessoires d’armes, munitions et autres objets dangereux précités, examinera s’il existe un intérêt à renoncer à leur destruction et à les transmettre, en lieu et place, à un musée militaire ou à tout autre établissement rassemblant des collections d’objets ayant un intérêt historique. Les quatre gilets pare-balles, l’étui vide et la fourre à fusil énumérés respectivement aux chiffres 9 à 11, 37 et 38 de l’inventaire du 15 novembre 2022 seront restitués à R.________. Le jugement entrepris sera ainsi modifié dans le sens de ce qui précède.</w:t>
      </w:r>
    </w:p>
    <w:p>
      <w:r>
        <w:rPr>
          <w:b/>
        </w:rPr>
        <w:t>E. 7.1</w:t>
      </w:r>
    </w:p>
    <w:p>
      <w:r>
        <w:t>R.________ conclut au versement d’une indemnité fixée en équité en raison de sa détention injustifiée et de sa détention illicite.</w:t>
      </w:r>
    </w:p>
    <w:p>
      <w:r>
        <w:rPr>
          <w:b/>
        </w:rPr>
        <w:t>E. 7.2.1</w:t>
      </w:r>
    </w:p>
    <w:p>
      <w:r>
        <w:t>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w:t>
      </w:r>
    </w:p>
    <w:p>
      <w:r>
        <w:rPr>
          <w:b/>
        </w:rPr>
        <w:t>E. 7.2.2</w:t>
      </w:r>
    </w:p>
    <w:p>
      <w:r>
        <w:t>Selon l’art. 431 al. 1 CPP, si le prévenu a, de manière illicite, fait l’objet de mesures de contrainte, l’autorité pénale lui alloue une juste indemnité et réparation du tort moral.</w:t>
      </w:r>
    </w:p>
    <w:p>
      <w:r>
        <w:t>- 34 -</w:t>
      </w:r>
    </w:p>
    <w:p>
      <w:r>
        <w:rPr>
          <w:b/>
        </w:rPr>
        <w:t>E. 7.2.3</w:t>
      </w:r>
    </w:p>
    <w:p>
      <w:r>
        <w:t>Il ne se justifie pas d’allouer des indemnités fondées sur les art. 429 al. 1 let. c et 431 al. 1 CPP à R.________, au vu de la confirmation de sa condamnation et de la peine privative de liberté de 8 mois qui lui est infligée. La détention provisoire subie n’excède pas la peine prononcée et la déduction de 3 jours sur la peine privative de liberté prononcée opérée par la première juge à titre de réparation du tort moral en raison des conditions de détention provisoire illicites durant 5 jours est conforme à la jurisprudence applicable en la matière, tant en ce qui concerne le nombre de jours déduits que s’agissant du choix du type d’indemnisation, lequel n’appartient pas au prévenu (ATF 142 IV 245 consid. 4.3).</w:t>
      </w:r>
    </w:p>
    <w:p>
      <w:r>
        <w:rPr>
          <w:b/>
        </w:rPr>
        <w:t>E. 8</w:t>
      </w:r>
    </w:p>
    <w:p>
      <w:r>
        <w:t>En définitive, l’appel de R.________ doit être très partiellement admis et le jugement entrepris réformé dans le sens du considérant 6. Le jugement doit être confirmé pour le surplus. Me Jean-Nicolas Roud a produit une liste d’opérations faisant état de 14 h 50 d’activité d’avocat, hors durée de l’audience d’appel, d’une vacation et de débours à hauteur de 2% des honoraires, TVA à 8,1% en sus. Il n’y a pas lieu de s’écarter du temps allégué, si ce n’est pour tenir compte de la durée des débats d’appel et ajouter 1 heure et 15 minutes à ce titre. C’est ainsi une indemnité de 3'255 fr. 65, correspondant à 15 heures et 45 minutes d’activité d’avocat au tarif horaire de 180 fr., par 2’835 fr., à des débours forfaitaires à hauteur de 2 % des honoraires (art. 3bis RAJ [règlement sur l’assistance judiciaire en matière civile du 7 décembre 2010 ; BLV 211.02.3], applicable par renvoi de l’art. 26b TFIP [tarif des frais de procédure et indemnités en matière pénale du 28 septembre 2010 ; BLV 312.03.1]), par 56 fr. 70, à une vacation, par 120 fr., et à la TVA au taux de 8,1 %, par 243 fr. 95, qui sera allouée à Me Jean- Nicolas Roud pour la procédure d’appel. L'admission très partielle de l'appel porte sur un point qui n’a fait l’objet d’aucun développement dans la déclaration d’appel et n’a pas été plaidé. Il n'a ainsi aucune incidence sur la part des frais d'appel qui doit être mise à la charge de l’appelant. Dès lors, les frais de la procédure d’appel, par 6'705 fr. 65, constitués en l’espèce de l’émolument</w:t>
      </w:r>
    </w:p>
    <w:p>
      <w:r>
        <w:t>- 35 - d’audience et de jugement (art. 21 al. 1 et 2 TFIP [Tarif des frais de procédure et indemnités en matière pénale du 28 septembre 2010, BLV 312.03.1]), par 3'450 fr., ainsi que de l’indemnité allouée au défenseur d’office, par 3’255 fr. 65, seront mis à la charge de R.________ (art. 428 al. 1 CPP). R.________ sera tenu de rembourser à l’Etat l’indemnité allouée à son défenseur d’office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