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PE22.020727 vom 18. Dezember 2023</w:t>
      </w:r>
    </w:p>
    <w:p>
      <w:r>
        <w:t>VD Tribunal cantonal, 2023-12-18, FR</w:t>
      </w:r>
    </w:p>
    <w:p>
      <w:r>
        <w:rPr>
          <w:b/>
        </w:rPr>
        <w:t xml:space="preserve">Quelle: </w:t>
      </w:r>
      <w:r>
        <w:t>https://mcp.opencaselaw.ch/entscheid/vd_gerichte_PE22.020727</w:t>
      </w:r>
    </w:p>
    <w:p>
      <w:r>
        <w:t>FR: VD_GERICHTE PE22.020727 du 18 décembre 2023</w:t>
      </w:r>
    </w:p>
    <w:p>
      <w:r>
        <w:t>IT: VD_GERICHTE PE22.020727 del 18 dicembre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- 4 -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rPr>
          <w:b/>
        </w:rPr>
        <w:t>E. 1.2</w:t>
      </w:r>
    </w:p>
    <w:p>
      <w:r>
        <w:t>Interjeté en temps utile devant l’autorité compétente, par la partie plaignante qui a qualité pour recourir (art. 382 al. 1 CPP) et dans les formes prescrites (art. 385 al. 1 CPP), le recours de Q.________ est recevable, sous réserve de ce qui sera exposé ci-après (cf. consid. 2.3).</w:t>
      </w:r>
    </w:p>
    <w:p>
      <w:r>
        <w:rPr>
          <w:b/>
        </w:rPr>
        <w:t>E. 2.1</w:t>
      </w:r>
    </w:p>
    <w:p>
      <w:r>
        <w:t>La recourante reproche au Ministère public de ne pas avoir pris en considération sa plainte pénale et invoque la réciprocité avec la plainte déposée contre elle par O.________ pour menaces.</w:t>
      </w:r>
    </w:p>
    <w:p>
      <w:r>
        <w:rPr>
          <w:b/>
        </w:rPr>
        <w:t>E. 2.2.1</w:t>
      </w:r>
    </w:p>
    <w:p>
      <w:r>
        <w:t>Conformément à l’art. 310 al. 1 CPP, le ministère public rend immédiatement – c'est-à-dire sans qu'une instruction soit ouverte (art. 309 al. 1 et 4 CPP ; ATF 144 IV 86 consid. 2.3.3 ; Grodecki/Cornu, in : Jeanneret/Kuhn/Perrier Depeursinge [éd.], Commentaire romand, Code de procédure pénale suisse, 2e éd., Bâle 2019, n. 2 ad art. 310 CPP) –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w:t>
      </w:r>
    </w:p>
    <w:p>
      <w:r>
        <w:t>- 5 - commentaire CPP, 2e éd., Bâle 2016, n. 13 ad art. 310 CPP), doit être assimilée à un empêchement de procéder au sens de l’art. 310 al. 1 let. b CPP, du moins lorsqu’aucune infraction poursuivie d’office n’est en cause (CREP 2 février 2022/86 consid. 2.1.1 ; CREP 22 octobre 2021/976).</w:t>
      </w:r>
    </w:p>
    <w:p>
      <w:r>
        <w:rPr>
          <w:b/>
        </w:rPr>
        <w:t>E. 2.2.2</w:t>
      </w:r>
    </w:p>
    <w:p>
      <w:r>
        <w:t>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Code pénal, 2e éd., Bâle 2017, n. 4 ad. art. 31 CP). Ce délai impératif de trois mois concerne uniquement les infractions poursuivies sur plainte. Le délai institué par l’art. 31 CP étant un délai de péremption, il ne peut être ni interrompu, ni prolongé (ATF 118 IV 325 consid. 2b). Lorsque le respect du délai pour déposer plainte est litigieux, il incombe au plaignant de fournir la preuve qu’il a respecté le délai de trois mois (CREP 28 août 2012/709 et réf. cit.). En cas de doute au sujet du respect du délai de plainte, il convient d’admettre que celui-ci a été respecté lorsqu’aucun indice sérieux n’indique que le plaignant aurait pu avoir connaissance plus tôt de l’acte ou de l’auteur (ATF 97 I 769 consid. 3 ; TF 6B_825/2023 du 8 novembre 2023 consid. 1.1.1 et les réf. cit.).</w:t>
      </w:r>
    </w:p>
    <w:p>
      <w:r>
        <w:rPr>
          <w:b/>
        </w:rPr>
        <w:t>E. 2.3</w:t>
      </w:r>
    </w:p>
    <w:p>
      <w:r>
        <w:t>En l’espèce, dans sa plainte datée du 11 juin 2023 et réceptionnée par le Ministère public le 14 juin 2023, la recourante reproche à O.________ de lui avoir dit, le 23 juillet 2022 : « Ta gueule pétasse ».</w:t>
      </w:r>
    </w:p>
    <w:p>
      <w:r>
        <w:t>- 6 - Dans son recours, la plaignante explique qu’O.________ aurait déposé plainte contre elle pour diffamation et calomnie, et non pour menaces et que sa plainte contre O.________ serait recevable, par réciprocité avec la plainte de celui-ci pour menaces. Ce grief énoncé au 3ème paragraphe du recours a trait à l’enquête dirigée contre la recourante ensuite de la plainte déposée contre elle par O.________ pour menaces, plainte se rapportant à une infraction distincte de celle dénoncée par la plaignante et ne faisant pas l’objet de l’ordonnance de non-entrée en matière dont est recours. Ce grief est donc irrecevable. L’infraction d’injure dénoncée par la recourante dans sa plainte pénale du 11 juin 2023 et les infractions de diffamation, calomnie et menaces évoquées par celle-ci dans son recours ne se poursuivent que sur plainte (cf. art. 173, 174, 177 et 180 CP). Aussi, quelle que soit l’infraction finalement retenue, le délai péremptoire non prolongeable de trois mois de l’art. 31 CP pour déposer plainte a commencé à courir le 23 juillet 2022, date de la survenance des faits reprochés. Déposée près de onze mois après qu’elle ait eu connaissance de l’infraction et de son auteur, la plainte de la recourante est manifestement tardive. C’est donc à bon droit que le Ministère public n’est pas entré en matière sur la plainte du 11 juin 2023 de la recourante, les conditions de l’art. 310 al. 1 let. a CPP étant réalisées.</w:t>
      </w:r>
    </w:p>
    <w:p>
      <w:r>
        <w:rPr>
          <w:b/>
        </w:rPr>
        <w:t>E. 3</w:t>
      </w:r>
    </w:p>
    <w:p>
      <w:r>
        <w:t>Il résulte de ce qui précède que le recours interjeté par Q.________, manifestement mal fondé, doit être rejeté dans la mesure où il est recevable, sans échange d’écritures (art. 390 al. 2 CPP), et l’ordonnance contestée confirmée. Les frais de la procédure de recours, constitués en l’espèce du seul émolument d’arrêt, par 660 fr. (art. 20 al. 1 TFIP [Tarif des frais de procédure et indemnités en matière pénale du 28 septembre 2010 ; BLV</w:t>
      </w:r>
    </w:p>
    <w:p>
      <w:r>
        <w:t>- 7 - 312.03.1]), seront mis à la charge de la recourante, qui succombe (art. 428 al. 1 CPP). Le montant de 550 fr. déjà versé par celle-ci à titre de sûretés sera imputé sur ces frais (art. 383 al. 1 CPP ; art. 7 TFIP). Par ces motifs, la Chambre des recours pénale prononce : I. Le recours est rejeté dans la mesure où il est recevable. II. L’ordonnance du 4 juillet 2023 est confirmée. III. Les frais d’arrêt, par 660 fr. (six cent soixante francs), sont mis à la charge de Q.________. IV. L’avance de frais de 550 fr. (cinq cent cinquante francs) versée par la recourante est imputée sur les frais mis à sa charge au chiffre III ci-dessus, le solde dû s’élevant à 110 fr. (cent dix francs). V. L’arrêt est exécutoire. La présidente : La greffière : Du Le présent arrêt, dont la rédaction a été approuvée à huis clos, est notifié, par l'envoi d'une copie complète, à : - Mme Q.________, - Ministère public central, et communiqué à : - Mme la Procureure de l’arrondissement de Lausanne,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