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PE22.020701 vom 26. Juni 2025</w:t>
      </w:r>
    </w:p>
    <w:p>
      <w:r>
        <w:t>VD Tribunal cantonal, 2025-06-26, FR</w:t>
      </w:r>
    </w:p>
    <w:p>
      <w:r>
        <w:rPr>
          <w:b/>
        </w:rPr>
        <w:t xml:space="preserve">Quelle: </w:t>
      </w:r>
      <w:r>
        <w:t>https://mcp.opencaselaw.ch/entscheid/vd_gerichte_PE22.020701</w:t>
      </w:r>
    </w:p>
    <w:p>
      <w:r>
        <w:t>FR: VD_GERICHTE PE22.020701 du 26 juin 2025</w:t>
      </w:r>
    </w:p>
    <w:p>
      <w:r>
        <w:t>IT: VD_GERICHTE PE22.020701 del 26 giugno 2025</w:t>
      </w:r>
    </w:p>
    <w:p>
      <w:pPr>
        <w:pStyle w:val="Heading2"/>
      </w:pPr>
      <w:r>
        <w:t>Erwägungen</w:t>
      </w:r>
    </w:p>
    <w:p>
      <w:r>
        <w:rPr>
          <w:b/>
        </w:rPr>
        <w:t>E. 2</w:t>
      </w:r>
    </w:p>
    <w:p>
      <w:r>
        <w:t>CPP, il est adéquat de se référer dans les deux cas à la jurisprudence rendue en matière de condamnation aux frais du prévenu acquitté (ATF 137 IV 352 précité). Il n'y a pas lieu d'envisager une indemnisation du prévenu en cas de condamnation aux frais, l'obligation de supporter les frais et l'allocation d'une indemnité s'excluant réciproquement (ATF 137 IV 352 consid. 2.4.2). En cas de classement partiel ou d'acquittement partiel, le</w:t>
      </w:r>
    </w:p>
    <w:p>
      <w:r>
        <w:t>- 9 - principe doit être relativisé. Si le prévenu est libéré d'un chef d'accusation et condamné pour un autre, il sera condamné aux frais relatifs à sa condamnation et aura respectivement droit à une indemnité correspondant à son acquittement partiel (Message relatif à l'unification du droit de la procédure pénale du 21 décembre 2005, FF 2006 p. 1313 ad art. 438 CPP [actuel art. 430 CPP] ; TF 7B_12/2021 du 11 septembre 2023 consid. 2.2.2 ; TF 6B_357/2022 du 20 janvier 2023 consid. 2.1.2).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(art. 430 CPP a contrario ; TF 6B_357/2022 précité consid. 2.1.2).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142 IV 45 consid. 2.1 ; ATF 138 IV 197 consid. 2.3.5, JdT 2013 IV 184 ; TF 6B_938/2018 du 28 novembre 2018 consid. 1.1 ; TF 6B_237/2016 du 18 juillet 2016 consid. 3.1).</w:t>
      </w:r>
    </w:p>
    <w:p>
      <w:r>
        <w:t>- 10 - 2.1.3 Aux termes de l’art. 433 al. 1 CPP, la partie plaignante peut demander au prévenu une juste indemnité pour les dépenses obligatoires occasionnées par la procédure si elle obtient gain de cause ou si le prévenu est astreint au paiement des frais conformément à l’art. 426 al. 2 CPP.</w:t>
      </w:r>
    </w:p>
    <w:p>
      <w:r>
        <w:rPr>
          <w:b/>
        </w:rPr>
        <w:t>E. 2.2.1</w:t>
      </w:r>
    </w:p>
    <w:p>
      <w:r>
        <w:t>En lien avec les faits dénoncés par R.________, le recourant fait valoir qu’il aurait tenu la comptabilité de sa société jusqu’en 2020, et que son associé S.________ se serait occupé de la suite, qu’on ne lui aurait pas posé plus de questions sur la comptabilité, ni exigé la production d’éventuelles pièces comptables, et que ce ne serait pas parce qu’il n’aurait pas tenu une comptabilité précise que le Ministère public aurait ouvert une instruction. En conséquence, il ne se justifierait pas de faire supporter au recourant les frais de procédure en lien avec les faits dénoncés par R.________ ni de le condamner à payer une indemnité à cette partie plaignante.</w:t>
      </w:r>
    </w:p>
    <w:p>
      <w:r>
        <w:rPr>
          <w:b/>
        </w:rPr>
        <w:t>E. 2.2.2</w:t>
      </w:r>
    </w:p>
    <w:p>
      <w:r>
        <w:t>En l’espèce, il est constant que le recourant a assumé formellement le rôle de gérant de H.________ jusqu’au 18 septembre 2020, date à laquelle, selon le registre du commerce, la gestion de la société a été reprise par S.________, le recourant conservant le statut d’associé, avec deux parts sociales sur 200. Jusqu’à cette date, c’est donc à lui qu’incombaient les obligations prescrites en matière comptable par les art. 958 ss CO, parmi lesquelles, notamment, celles d’enregistrer intégralement et fidèlement les transactions nécessaires à la présentation du patrimoine, de la situation financière et des résultats de l’entreprise (art. 957a al. 2 ch. 1 CO), et de justifier chaque enregistrement par une pièce comptable – savoir tout document écrit qui permet la vérification de la transaction ou du fait qui est l’objet de l’enregistrement (art. 957a al. 2 ch. 3 et al. 3 CO). Or, à lire la plainte que R.________ a déposée le 19 novembre (P. 31), c’est bien l’incapacité fautive du recourant à produire les pièces comptables permettant d’expliquer un certain nombre de transactions opérées alors qu’il était encore en charge de la gestion de la société et, partant, responsable de la tenue de la comptabilité, qui a</w:t>
      </w:r>
    </w:p>
    <w:p>
      <w:r>
        <w:t>- 11 - amené cette plaignante, après qu’il eut vainement tenté d’obtenir des documents probants du recourant (cf. P. 32/10 et 32/11), à soupçonner la commission d’infractions aux règles sur l’utilisation des fonds du crédit COVID-19 et qui l’a déterminée à déposer une plainte pénale. C’est donc à bon droit que le Ministère public a considéré que le recourant et S.________ avaient provoqué l’ouverture d’une instruction pénale de manière illicite et fautive, qu’il a mis à leur charge les frais afférents aux chefs de prévention dérivant de ces faits, les a astreints à payer à R.________ une indemnité de dépens – dont le recourant ne discute pas la quotité – et a refusé d’allouer au recourant une indemnité à forme de l’art. 429 al. 1 let. a CPP. Les griefs du recourant doivent donc être rejetés en tant qu’ils concernent les faits dénoncés par R.________.</w:t>
      </w:r>
    </w:p>
    <w:p>
      <w:r>
        <w:rPr>
          <w:b/>
        </w:rPr>
        <w:t>E. 2.3.1</w:t>
      </w:r>
    </w:p>
    <w:p>
      <w:r>
        <w:t>En lien avec les faits dénoncés par Z.________, le recourant plaide qu’un comportement immoral ou contraire au principe de la bonne foi ne peut en principe pas suffire pour justifier l’intervention des autorités répressives et, partant, entraîner l’imputation des frais au prévenu libéré, à l’instar d’ailleurs de la seule violation d’une obligation contractuelle.</w:t>
      </w:r>
    </w:p>
    <w:p>
      <w:r>
        <w:rPr>
          <w:b/>
        </w:rPr>
        <w:t>E. 2.3.2</w:t>
      </w:r>
    </w:p>
    <w:p>
      <w:r>
        <w:t>La critique est fondée. La jurisprudence citée par le recourant (cf. CREP 24 mai 2016/343 concernant la violation d’obligations contractuelles ou quasi contractuelles ; TF 6B_248/2022 du 26 octobre 2022 consid. 1.1 s’agissant de la violation des règles de la bonne foi) établit bel et bien les principes qu’il invoque. Il s’ensuit que le Ministère public ne pouvait pas prendre argument d’une hypothétique violation par le recourant et S.________ de leurs obligations contractuelles envers Z.________ pour mettre les frais de la procédure à leur charge. Il doit en aller de même de l’invocation des règles sur l’enrichissement illégitime (art. 62 ss CO), dès lors que cette source d’obligations ne suppose pas l’existence d’un délit civil, ni même d’une faute (Chappuis, in : Thévenoz/Werro, Commentaire romand, Code des obligations I, Art. 1-252 CO, 3e éd. 2021, n. 11 ad Intro. art. 62-67 CO). C’est d’ailleurs bien ce que la Chambre de céans laissait entendre dans son arrêt du 27 novembre</w:t>
      </w:r>
    </w:p>
    <w:p>
      <w:r>
        <w:t>- 12 - 2024, en insistant sur le caractère civil du litige divisant le recourant et S.________ d’avec Z.________. On fera encore observer, par surabondance de motifs, qu’on peine à discerner, à la lecture de la plainte que Z.________ a déposée (P. 5), quels sont les faits qu’il entend reprocher au recourant personnellement, dès lors qu’il allègue que c’est S.________ qui l’a approché dans le cadre de la vente de la société H.________, que c’est avec lui qu’il aurait conclu une convention de remise de commerce (P. 6/3), que c’est en mains du même qu’il aurait payé l’acompte de 20'000 fr. – ce que le plaignant a confirmé lors de son audition par la police (PV aud. 1 R. 9) – et que c’est à lui qu’il reprochait de lui avoir fait miroiter une bonne affaire pour assainir la société à ses dépens. Il suit de là que la condamnation du recourant aux frais est non seulement infondée en droit, mais ne trouve pas non plus d’ancrage dans les faits. Au vu de ce qui précède, les arguments du recourant sont bien fondés. C’est donc à tort que le Ministère public a mis les frais de procédure afférant à ce volet de l’enquête pénale à la charge du recourant, l’a condamné à payer une indemnité de dépens au plaignant et lui a refusé l’indemnité qu’il réclamait. Sur ce dernier point, il n’appartient toutefois pas à la Chambre de céans de se substituer à l’autorité de première instance en analysant les honoraires considérés comme justifiés, et en fixant le montant de l’indemnité réduite due en application de l’art. 429 al. 1 let. a CPP. A cet égard, le principe du respect de la double instance doit primer (TF 6B_1251/2016 du 19 juillet 2017 consid. 3.3 ; CREP 8 octobre 2024/721 consid. 2.2). Par conséquent, les chiffres I et IV du dispositif de l’ordonnance attaquée seront annulés et le Ministère public invité à fixer l’indemnité réduite revenant au recourant et à rendre une nouvelle décision répartissant les frais de procédure, en tenant compte du fait que ce n’est que pour le cas no 1 que les prévenus supportent lesdits frais. Le chiffre III du dispositif de l’ordonnance attaquée sera réformé en ce que le</w:t>
      </w:r>
    </w:p>
    <w:p>
      <w:r>
        <w:t>- 13 - recourant n’est pas le débiteur d’une indemnité au sens de l’art. 433 CPP en faveur de Z.________.</w:t>
      </w:r>
    </w:p>
    <w:p>
      <w:r>
        <w:rPr>
          <w:b/>
        </w:rPr>
        <w:t>E. 3</w:t>
      </w:r>
    </w:p>
    <w:p>
      <w:r>
        <w:t>En définitive, le recours doit être partiellement admis, l’ordonnance attaquée annulée aux chiffres I et IV de son dispositif, le dossier de la cause étant renvoyé au Ministère public pour qu’il procède dans le sens des considérants et rende une nouvelle décision, et réformée au chiffre III de son dispositif dans le sens des considérants. Les chiffres II et V doivent être confirmés. Vu l’issue de la cause, les frais de la procédure de recours, constitués en l’espèce de l’émolument d’arrêt, par 1'430 fr. (art. 20 al. 1 TFIP [tarif des frais de procédure et indemnités en matière pénale du 28 septembre 2010 ; BLV 312.03.1]), seront mis par moitié, soit par 715 fr., à la charge du recourant, qui succombe dans cette mesure (art. 428 al. 1 CPP), le solde étant laissé à la charge de l’Etat. Obtenant partiellement gain de cause, le recourant, qui a procédé avec l’assistance d’un avocat de choix, a droit à une indemnité réduite pour les dépenses occasionnées par la procédure de recours (art. 429 al. 1 let. a CPP par renvoi de l’art. 436 al. 1 CPP). Compte tenu de la nature de l’affaire et du mémoire de recours adressé à la Chambre de céans, l’indemnité allouée sera fixée à 900 fr., correspondant à 3 heures d’activité nécessaire d’avocat breveté au tarif horaire de 300 fr., montant auquel il convient d’ajouter des débours forfaitaires à concurrence de 2% (art. 3bis al. 1 RAJ [règlement du 7 décembre 2010 sur l'assistance judiciaire en matière civile ; BLV 211.02.3], applicable par renvoi de l’art. 26b TFIP) des honoraires, par 18 fr., et la TVA au taux de 8,1 % sur le tout, par 74 fr. 40, soit à 993 fr. au total en chiffres arrondis. Par parallélisme avec le sort des frais, cette indemnité sera réduite de moitié pour tenir compte de la mesure dans laquelle le recours est admis. En définitive, c’est une indemnité au sens de l’art. 429 CPP, à la charge de l’Etat, de 497 fr. en chiffres arrondis, qui sera allouée au recourant pour les dépenses occasionnées par la procédure de recours.</w:t>
      </w:r>
    </w:p>
    <w:p>
      <w:r>
        <w:t>- 14 - Dans la mesure où Z.________, qui s’est déterminé et qui a conclu au rejet du recours en tant qu’il le concerne, succombe, il n’a pas droit à une indemnité au sens de l’art. 433 CPP pour la procédure de recours, étant relevé que l’assistance judiciaire gratuite pour la partie plaignante et la victime doit faire l’objet d’une nouvelle demande lors de la procédure de recours (art. 136 al. 3 CPP dans sa teneur au 1er janvier 2024) et que le prénommé n'a pas déposé une telle demande. Par ces motifs, la Chambre des recours pénale prononce : I. Le recours est partiellement admis. II. L’ordonnance du 10 avril 2025 est annulée aux chiffres I et IV de son dispositif. III. Le dossier de la cause est renvoyé au Ministère public de l’arrondissement de Lausanne pour qu’il procède dans le sens des considérants et rende une nouvelle décision. IV. L’ordonnance du 10 avril 2025 est réformée au chiffre III de son dispositif en ce sens qu’il est dit que J.________ n’est pas le débiteur d’une d’indemnité au sens de l’art. 433 CPP en faveur de Z.________. V. Les chiffres II et V du dispositif de l’ordonnance du 10 avril 2025 sont confirmés. VI. Les frais d’arrêt, par 1'430 fr. (mille quatre cent trente francs), sont mis par moitié, soit par 715 fr. (sept cent quinze francs), à la charge de J.________, le solde étant laissé à la charge de l’Etat. VII. Une indemnité réduite, de 497 fr. (quatre cent nonante-sept), est allouée à J.________ pour la procédure de recours, à la charge de l’Etat.</w:t>
      </w:r>
    </w:p>
    <w:p>
      <w:r>
        <w:t>- 15 - VIII. L’arrêt est exécutoire. Le président : La greffière : Du Le présent arrêt, dont la rédaction a été approuvée à huis clos, est notifié, par l'envoi d'une copie complète, à : - Me Nour-Aïda Bujard, avocate (pour J.________), - Me Yannick Bersot, avocat (pour Z.________), - M. S.________, - Me Charlotte Barbey, avocate (pour [...]; réf. : 1228059), - Ministère public central, et communiqué à : - M. le Procureur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