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PE22.020435 vom 16. Dezember 2024</w:t>
      </w:r>
    </w:p>
    <w:p>
      <w:r>
        <w:t>VD Tribunal cantonal, 2024-12-16, FR</w:t>
      </w:r>
    </w:p>
    <w:p>
      <w:r>
        <w:rPr>
          <w:b/>
        </w:rPr>
        <w:t xml:space="preserve">Quelle: </w:t>
      </w:r>
      <w:r>
        <w:t>https://mcp.opencaselaw.ch/entscheid/vd_gerichte_PE22.020435</w:t>
      </w:r>
    </w:p>
    <w:p>
      <w:r>
        <w:t>FR: VD_GERICHTE PE22.020435 du 16 décembre 2024</w:t>
      </w:r>
    </w:p>
    <w:p>
      <w:r>
        <w:t>IT: VD_GERICHTE PE22.020435 del 16 dicembre 2024</w:t>
      </w:r>
    </w:p>
    <w:p>
      <w:pPr>
        <w:pStyle w:val="Heading2"/>
      </w:pPr>
      <w:r>
        <w:t>Erwägungen</w:t>
      </w:r>
    </w:p>
    <w:p>
      <w:r>
        <w:rPr>
          <w:b/>
        </w:rPr>
        <w:t>E. 18</w:t>
      </w:r>
    </w:p>
    <w:p>
      <w:r>
        <w:t>avril 1999 ; RS 101) et 6 par. 2 CEDH (Convention de sauvegarde des</w:t>
      </w:r>
    </w:p>
    <w:p>
      <w:r>
        <w:t>- 21 - droits de l’homme et des libertés fondamentales du 4 novembre 1950 ; RS 0.101). Celle-ci interdit de rendre une décision défavorable au prévenu libéré en laissant entendre qu'il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du 30 mars 1911 ; RS 220).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 TF 7B_216/2022 du 1er avril 2025 consid. 3.1). La condamnation d'un prévenu acquitté à supporter tout ou partie des frais peut en principe se fonder sur l'art. 28 CC (Code civil suisse du 10 décembre 1907 ; RS 210 ; TF 7B_33/2022 du 15 janvier 2024 consid. 3.1.2 et les références citées). 4.3 En l’espèce, l’appelant ayant été condamné pour les cas 2.1 et 2.2, les frais y relatifs doivent être mis à sa charge (art. 426 al. 1 CPP). Pour ce qui est du chiffre 2.3, l’appelant ne doit son acquittement qu’à l’absence du dépôt par la victime d’une plainte pénale à son encontre. Au demeurant, les faits sont constitutifs d’une violation des droits de la personnalité de son épouse. L’appelant a d’ailleurs fait l’objet d’une ordonnance d’expulsion prononcée à titre de mesures</w:t>
      </w:r>
    </w:p>
    <w:p>
      <w:r>
        <w:t>- 22 - superprovisionnelles du 8 novembre 2022, fondée sur l’art. 28b al. 4 CC. C’est cet acte illicite qui est à l’origine de l’action pénale. C’est donc à bon droit que les premiers juges ont décidé de faire supporter à l’appelant l’intégralité des frais (art. 426 al. 2 CPP). Pour le surplus, et par surabondance, l’appelant est seul responsable de cette dette car il ne s’agit ni d’un cas de solidarité au sens de l’art. 143 CO (Code des obligations du 30 mars 1911 ; RS 220), ni d’un cas de représentation de l’union conjugale au sens de l’art. 166 CC. Quoi qu’il en soit, l’appelant disposant de revenus sous la forme d’une rente d’invalidité, il est en mesure de s’acquitter seul des frais de justice mis à sa charge, sans que son épouse doive indirectement les prendre en charge à sa place. 5. Au vu de ce qui précède, l’appel doit être rejeté et le jugement entrepris confirmé. Il y a lieu d’allouer à Me Irina Brodard-Lopez, défenseur d’office de F.________, une indemnité pour la procédure d’appel. Elle a produit à cet effet une liste des opérations faisant état de 9h51 d’activité. Il n’y a pas lieu de s’en écarter, si ce n’est afin de tenir compte de la durée effective de l’audience d’appel. Les honoraires s’élèvent ainsi à 1’836 fr., correspondant à 10h12 d’activité au tarif horaire de 180 fr. (art. 2 al. 1 let. a RAJ [règlement sur l'assistance judiciaire en matière civile du 7 décembre 2010 ; BLV 211.02.3] par renvoi de l'art. 26b TFIP [tarif des frais de procédure et indemnités en matière pénale ; BLV 312.03.1). Viennent s’y ajouter des débours forfaitaires à hauteur de 2 % des honoraires admis (art. 3bis al. 1 RAJ), par 36 fr. 70, une vacation forfaitaire de 120 fr. (art. 3bis al. 3 RAJ), ainsi que la TVA au taux de 8,1 % sur le tout, par 161 fr. 40. L’indemnité s’élève donc à 2'154 fr. 15 au total. Les frais de procédure d’appel s’élèvent à 4'724 fr. 15. Ils sont constitués de l’émolument d’audience, par 700 fr. (art. 21 al. 2 TFIP), de l’émolument de jugement, par 1’870 fr. (art. 21 al. 1 TFIP), et de</w:t>
      </w:r>
    </w:p>
    <w:p>
      <w:r>
        <w:t>- 23 - l’indemnité d’office arrêtée ci-dessus. Ils seront mis à la charge de F.________, qui succombe (art. 428 al. 1 CPP). F.________ sera tenu de rembourser à l’Etat l’indemnité allouée à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