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PE22.020321 vom 8. November 2022</w:t>
      </w:r>
    </w:p>
    <w:p>
      <w:r>
        <w:t>VD Tribunal cantonal, 2022-11-08, FR</w:t>
      </w:r>
    </w:p>
    <w:p>
      <w:r>
        <w:rPr>
          <w:b/>
        </w:rPr>
        <w:t xml:space="preserve">Quelle: </w:t>
      </w:r>
      <w:r>
        <w:t>https://mcp.opencaselaw.ch/entscheid/vd_gerichte_PE22.020321</w:t>
      </w:r>
    </w:p>
    <w:p>
      <w:r>
        <w:t>FR: VD_GERICHTE PE22.020321 du 8 novembre 2022</w:t>
      </w:r>
    </w:p>
    <w:p>
      <w:r>
        <w:t>IT: VD_GERICHTE PE22.020321 del 8 novembre 2022</w:t>
      </w:r>
    </w:p>
    <w:p>
      <w:pPr>
        <w:pStyle w:val="Heading2"/>
      </w:pPr>
      <w:r>
        <w:t>Erwägungen</w:t>
      </w:r>
    </w:p>
    <w:p>
      <w:r>
        <w:rPr>
          <w:b/>
        </w:rPr>
        <w:t>E. 19</w:t>
      </w:r>
    </w:p>
    <w:p>
      <w:r>
        <w:t>mars 2019 consid. 2.2). 2. En l’espèce, à l’appui de sa demande de révision, le requérant fait valoir que l’ordonnance rendue le 17 janvier 2022 à son encontre ne lui aurait pas été valablement notifiée, dès lors que l’adresse à laquelle elle lui a été envoyée, soit son adresse de contact à [...], ne pourrait pas être considérée comme son adresse de domicile au sens de l’art. 23 al. 1 CC. Il ne s’agit toutefois pas d’un fait nouveau au sens de l’art. 410 al. 1 let. a CPP. C’est dans le cadre d’une procédure ordinaire d’opposition à l’ordonnance pénale que le défaut de notification valable doit être examiné, ce moyen ayant trait à la recevabilité de l’opposition. 3. Il s’ensuit que la demande de révision déposée par I.________ doit être déclarée irrecevable, sans échange d’écritures (art. 412 al. 2 et 3 CPP). Les frais de la procédure de révision, constitués du seul émolument d'arrêt, par 550 fr. (art. 21 al. 1 et 22 TFIP [Tarif des frais de</w:t>
      </w:r>
    </w:p>
    <w:p>
      <w:r>
        <w:t>- 7 - procédure et indemnités en matière pénale du 28 septembre 2010 ; BLV 312.03.1]), seront mis à la charge du requérant, qui succombe (art. 428 al. 1 CPP).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