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PE22.020212 vom 11. Oktober 2023</w:t>
      </w:r>
    </w:p>
    <w:p>
      <w:r>
        <w:t>VD Tribunal cantonal, 2023-10-11, FR</w:t>
      </w:r>
    </w:p>
    <w:p>
      <w:r>
        <w:rPr>
          <w:b/>
        </w:rPr>
        <w:t xml:space="preserve">Quelle: </w:t>
      </w:r>
      <w:r>
        <w:t>https://mcp.opencaselaw.ch/entscheid/vd_gerichte_PE22.020212</w:t>
      </w:r>
    </w:p>
    <w:p>
      <w:r>
        <w:t>FR: VD_GERICHTE PE22.020212 du 11 octobre 2023</w:t>
      </w:r>
    </w:p>
    <w:p>
      <w:r>
        <w:t>IT: VD_GERICHTE PE22.020212 del 11 ottobre 2023</w:t>
      </w:r>
    </w:p>
    <w:p>
      <w:pPr>
        <w:pStyle w:val="Heading2"/>
      </w:pPr>
      <w:r>
        <w:t>Erwägungen</w:t>
      </w:r>
    </w:p>
    <w:p>
      <w:r>
        <w:rPr>
          <w:b/>
        </w:rPr>
        <w:t>E. 2</w:t>
      </w:r>
    </w:p>
    <w:p>
      <w:r>
        <w:t>novembre 2022 en fin de matinée, on ne saurait en déduire, contrairement à l’appelant, qu’il n’aurait pas pu frapper la plaignante à l’aide de ces objets en fin d’après-midi. Le fait que le couple qui est intervenu lors de l’agression n’ait pas été retrouvé, que les parties aient eu rendez-vous avant les faits ou qu’elle ait consulté les urgences deux jours après les événements ne sont pas déterminants et ne permettent pas de douter de la véracité des déclarations de la plaignante, étant relevé que les lésions dont elle a souffert ont été constatées le</w:t>
      </w:r>
    </w:p>
    <w:p>
      <w:r>
        <w:rPr>
          <w:b/>
        </w:rPr>
        <w:t>E. 4</w:t>
      </w:r>
    </w:p>
    <w:p>
      <w:r>
        <w:t>L'appelant, qui conclut à son acquittement, ne conteste pas la peine prononcée à son encontre en tant que telle. Procédant à son examen d’office, la Cour de céans considère que la peine privative de liberté ferme de neuf mois, à raison de sept mois pour sanctionner la contrainte, augmentés de deux mois pour les lésions corporelles simples, les lésions corporelles simples qualifiées et les menaces, ainsi que la peine pécuniaire de trente jours-amende à 30 fr. le jour infligée par le premier juge pour réprimer l’injure, ont été fixées en application des critères légaux et conformément à la culpabilité et à la situation personnelle de D.________. Il peut dès lors être renvoyé à cet</w:t>
      </w:r>
    </w:p>
    <w:p>
      <w:r>
        <w:t>- 27 - égard à la motivation du jugement attaqué (pp. 52 s. ; art. 82 al. 4 CPP), qui est claire et convaincante. La peine doit donc être confirmée. Conformément à l’art. 51 CP, la détention subie avant jugement sera déduite de la peine privative de liberté prononcée. La déduction de la peine prononcée de 56 jours à titre de réparation du tort moral pour les 12 jours passés dans des conditions illicites en zone carcérale et pour les 199 jours passés dans les mêmes conditions à la Prison du Bois-Mermet, qui n’est au demeurant pas contestée, est adéquate et doit également être confirmée.</w:t>
      </w:r>
    </w:p>
    <w:p>
      <w:r>
        <w:rPr>
          <w:b/>
        </w:rPr>
        <w:t>E. 5.1</w:t>
      </w:r>
    </w:p>
    <w:p>
      <w:r>
        <w:t>Dans sa plaidoirie aux débats d’appel, l’appelant conteste la mesure d’expulsion prononcée à son encontre, qu’il estime disproportionnée, et produit un courrier rédigé par les grands-parents de son fils, qui atteste de l’existence d’un lien avec celui-ci.</w:t>
      </w:r>
    </w:p>
    <w:p>
      <w:r>
        <w:rPr>
          <w:b/>
        </w:rPr>
        <w:t>E. 5.2</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w:t>
      </w:r>
    </w:p>
    <w:p>
      <w:r>
        <w:t>- 28 - durée de son séjour en Suisse ainsi que de la solidité des liens sociaux, culturels et familiaux avec le pays hôte et avec le pays de destination (cf. ATF 139 I 145 consid. 2.4 ; ATF 139 I 31 consid. 2.3.3 ; ATF 135 II 377 consid. 4.3 ; TF 6B_1398/2022 précité ; voir aussi TF 6B_693/2020 précité et les arrêts cités).</w:t>
      </w:r>
    </w:p>
    <w:p>
      <w:r>
        <w:rPr>
          <w:b/>
        </w:rPr>
        <w:t>E. 5.3</w:t>
      </w:r>
    </w:p>
    <w:p>
      <w:r>
        <w:t>En l’espèce, l’appelant est arrivé en Suisse en 2016 et ne dispose à ce jour pas d’un statut qui lui permettrait d’y demeurer à terme, ni d’y travailler, ayant fait l’objet d’une décision de renvoi. N'ayant manifestement pas pris la mesure des condamnations prononcées antérieurement à son encontre, il a fait vivre un véritable calvaire à son ex-compagne en la harcelant de manière obsessionnelle et en commettant notamment des actes de violence à son encontre, récidivant tant en matière de violences envers les femmes que d’infractions contre la liberté ou l’honneur. Il ne prétend pas que son intégration en Suisse serait particulièrement bonne et qu’un retour en Macédoine le placerait dans une situation grave. S’il est certes le père d’un enfant en Suisse, il s’est rendu coupable de violences à l’encontre de sa mère, ne fait pas ménage commun avec lui, n’en a pas la garde et ne prétend pas contribuer à son entretien. Il ne démontre pas non plus qu’il existerait entre eux un lien particulièrement fort allant au-delà d’une relation ordinaire entre un père et son fils. Ainsi, si son expulsion portera bien évidemment atteinte aux relations qu’il entretient avec son fils, il y a lieu de relever que cette mesure reste de durée limitée – soit de cinq ans – et ne l’empêchera pas d’entretenir un contact avec lui par le biais des moyens de communication aujourd’hui à disposition (ATF 144 I 91 consid. 5.1 ; TF 6B_1027/2018 du 7 novembre 2018 consid. 1.5). Par ailleurs, compte tenu des faits qui lui sont reprochés, du risque de récidive qu’il présente, de ses antécédents en la matière et de l’absence totale de prise de conscience de l’illégalité de ses actes dont il a fait preuve jusqu’aux débats d’appel, l’intérêt public à son expulsion est important, tout comme celui de la victime à pouvoir enfin vivre librement, et doit l’emporter sur son intérêt privé à demeurer en Suisse.</w:t>
      </w:r>
    </w:p>
    <w:p>
      <w:r>
        <w:t>- 29 - L’expulsion de l’appelant constitue donc une mesure proportionnée compte tenu de la nature et de la gravité des infractions retenues à son encontre et de ses faibles attaches avec la Suisse, d’une part, et de sa situation familiale, d’autre part. L’appel de D.________ doit ainsi être rejeté sur ce point et son expulsion du territoire suisse pour cinq ans, durée qui apparaît adéquate, ainsi que l’inscription de celle-ci au SIS, confirmée.</w:t>
      </w:r>
    </w:p>
    <w:p>
      <w:r>
        <w:rPr>
          <w:b/>
        </w:rPr>
        <w:t>E. 6</w:t>
      </w:r>
    </w:p>
    <w:p>
      <w:r>
        <w:t>L’appelant, qui plaide son acquittement pur et simple, conclut à l’allocation d’une indemnité de 42'200 fr., respectivement de 49'800 fr., pour les 211 jours de détention injustifiée subis. Dans la mesure où sa condamnation est intégralement confirmée, l’appelant ne peut prétendre à être indemnisé pour la détention subie. Cette conclusion doit ainsi être rejetée.</w:t>
      </w:r>
    </w:p>
    <w:p>
      <w:r>
        <w:rPr>
          <w:b/>
        </w:rPr>
        <w:t>E. 7</w:t>
      </w:r>
    </w:p>
    <w:p>
      <w:r>
        <w:t>décembre 2010 ; BLV 211.02.3), applicable par renvoi de l’art. 26b TFIP (tarif des frais de procédure et indemnités en matière pénale du 28 septembre 2010 ; BLV 312.03.1). C’est ainsi une indemnité de 4’255 fr., correspondant à 20 h 50 d’activité d’avocat au tarif horaire de 180 fr., par 3’750 fr., à des débours forfaitaires à hauteur de 75 fr., à une vacation à 120 fr. et à des montants correspondant à la TVA au taux de 7,7 % s’agissant des opérations effectuées entre le 13 octobre et le 27 novembre 2023, par 183 fr. 80, et au taux de 8,1 % s’agissant des opérations postérieures au 1er janvier 2024, par 126 fr. 20, qui sera allouée à Me Filip Banic pour la procédure d’appel.</w:t>
      </w:r>
    </w:p>
    <w:p>
      <w:r>
        <w:rPr>
          <w:b/>
        </w:rPr>
        <w:t>E. 7.1</w:t>
      </w:r>
    </w:p>
    <w:p>
      <w:r>
        <w:t>Au vu du risque de récidive présenté par l’appelant, le maintien, jusqu’au jugement définitif et exécutoire, des mesures de substitution à sa détention pour des motifs de sûreté, telles qu’ordonnées par le Tribunal des mesures de contrainte aux ch. V et VI du dispositif de son ordonnance du 29 juin 2023, doit être ordonné.</w:t>
      </w:r>
    </w:p>
    <w:p>
      <w:r>
        <w:rPr>
          <w:b/>
        </w:rPr>
        <w:t>E. 7.2.1</w:t>
      </w:r>
    </w:p>
    <w:p>
      <w:r>
        <w:t>La liste des opérations produite par Me Filip Banic, défenseur d’office de D.________, fait état de 20 h 20 d’activité d’avocat, y compris la durée de l’audience d’appel estimée à 30 minutes, et d’une vacation, ainsi que de débours forfaitaires à hauteur de 5 % des honoraires. Il n’y a pas lieu de s’écarter du temps ainsi allégué, si ce n’est pour tenir compte de la durée effective des débats d’appel et ajouter 30 minutes à ce titre. En outre, les débours seront indemnisés sur une base forfaitaire à concurrence de 2 % du montant des honoraires admis, conformément à l’art. 3bis RAJ (règlement sur l’assistance judiciaire en matière civile du</w:t>
      </w:r>
    </w:p>
    <w:p>
      <w:r>
        <w:t>- 30 -</w:t>
      </w:r>
    </w:p>
    <w:p>
      <w:r>
        <w:rPr>
          <w:b/>
        </w:rPr>
        <w:t>E. 7.2.2</w:t>
      </w:r>
    </w:p>
    <w:p>
      <w:r>
        <w:t>Il n’y a pas non plus lieu de s’écarter de la liste des opérations produite par Me Alessandra Crema, avocate-stagiaire en l’étude de Me Céline Jarry-Lacombe, conseil d’office de J.________, qui fait état de fait état de 2 h 45 d’activité d’avocat breveté au tarif horaire de 180 fr. et de 10 h 30 d’activité d’avocat-stagiaire au tarif horaire de 110 fr., y compris la durée de l’audience d’appel estimée à 2 h 00, et d’une vacation à 80 fr., ainsi que de débours forfaitaires à hauteur de 5 %, si ce n’est pour tenir compte de la durée des débats d’appel et retrancher 1 h 00 à ce titre. Comme précédemment, les débours seront indemnisés sur une base forfaitaire à concurrence de 2 % du montant des honoraires admis, conformément à l’art. 3bis RAJ. C’est ainsi une indemnité de 1’781 fr. 85 qui sera allouée à Me Céline Jarry-Lacombe pour la procédure d’appel, correspondant à 2 h 45 d’activité d’avocat breveté au tarif horaire de 180 fr., par 495 fr. et à 9 h 30 d’activité d’avocat-stagiaire au tarif horaire de 110 fr., par 1'045 fr., à des débours forfaitaires à hauteur de 30 fr. 80, à une vacation à 80 fr., et à des montants correspondants à la TVA au taux de 7,7 % s’agissant des opérations effectuées entre le 27 octobre et le 20 décembre 2023, par 51 fr. 45, et au taux de 8,1 % s’agissant des opérations effectuées entre le 23 janvier et le 6 mai 2024, par 79 fr. 60.</w:t>
      </w:r>
    </w:p>
    <w:p>
      <w:r>
        <w:rPr>
          <w:b/>
        </w:rPr>
        <w:t>E. 7.3</w:t>
      </w:r>
    </w:p>
    <w:p>
      <w:r>
        <w:t>Vu l'issue de la cause, les frais de la procédure d'appel, par 8'746 fr. 85, constitués de l'émolument du présent jugement, par 2’710 fr. (art. 21 al. 1 et 2 TFIP), ainsi que des indemnités allouées au défenseur d’office de D.________, par 4'255 fr., et au conseil d’office de J.________, par</w:t>
      </w:r>
    </w:p>
    <w:p>
      <w:r>
        <w:t>- 31 - 1’781 fr. 85, seront mis à la charge de l’appelant, qui succombe (art. 428 al. 1 CPP). D.________ sera tenu de rembourser à l’Etat le montant des indemnités en faveur de son défenseur d’office et du conseil d’office de J.________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