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PE22.020180 vom 26. September 2023</w:t>
      </w:r>
    </w:p>
    <w:p>
      <w:r>
        <w:t>VD Tribunal cantonal, 2023-09-26, FR</w:t>
      </w:r>
    </w:p>
    <w:p>
      <w:r>
        <w:rPr>
          <w:b/>
        </w:rPr>
        <w:t xml:space="preserve">Quelle: </w:t>
      </w:r>
      <w:r>
        <w:t>https://mcp.opencaselaw.ch/entscheid/vd_gerichte_PE22.020180</w:t>
      </w:r>
    </w:p>
    <w:p>
      <w:r>
        <w:t>FR: VD_GERICHTE PE22.020180 du 26 septembre 2023</w:t>
      </w:r>
    </w:p>
    <w:p>
      <w:r>
        <w:t>IT: VD_GERICHTE PE22.020180 del 26 settembre 2023</w:t>
      </w:r>
    </w:p>
    <w:p>
      <w:pPr>
        <w:pStyle w:val="Heading2"/>
      </w:pPr>
      <w:r>
        <w:t>Erwägungen</w:t>
      </w:r>
    </w:p>
    <w:p>
      <w:r>
        <w:rPr>
          <w:b/>
        </w:rPr>
        <w:t>E. 1.1</w:t>
      </w:r>
    </w:p>
    <w:p>
      <w:r>
        <w:t>Interjeté en temps utile (art. 322 al. 2 et 396 al. 1 CPP), contre une décision rendue par le ministère public (art. 393 al. 1 let. a CPP), par la recourante qui a un intérêt juridiquement protégé à l’annulation ou à la modification de la décision (art. 382 al. 1 CPP) et dans les formes prescrites (art. 385 al. 1 CPP), le recours est recevable.</w:t>
      </w:r>
    </w:p>
    <w:p>
      <w:r>
        <w:rPr>
          <w:b/>
        </w:rPr>
        <w:t>E. 1.2</w:t>
      </w:r>
    </w:p>
    <w:p>
      <w:r>
        <w:t>Aux termes de l’art. 395 let. b CPP, si l’autorité de recours est un tribunal collégial – ce qui est le cas de la Chambre des recours pénale, laquelle statue à trois juges (art. 67 al. 1 let. i LOJV [loi vaudoise d’organisation judiciaire du 12 décembre 1979 ; BLV 173.01]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Dès lors que le recours porte uniquement sur les conséquences économiques accessoires d’une décision de classement et que le montant litigieux est de 2'471 fr. 55 (1'568 fr. 20 + 500 fr. + 403 fr. 35), soit inférieur à 5'000 fr., il relève de la compétence d’un membre de la Chambre des recours pénale du Tribunal cantonal statuant comme juge unique.</w:t>
      </w:r>
    </w:p>
    <w:p>
      <w:r>
        <w:rPr>
          <w:b/>
        </w:rPr>
        <w:t>E. 2.1</w:t>
      </w:r>
    </w:p>
    <w:p>
      <w:r>
        <w:t>A.________ se plaint d’une violation de l’art. 429 al. 1 CPP.</w:t>
      </w:r>
    </w:p>
    <w:p>
      <w:r>
        <w:rPr>
          <w:b/>
        </w:rPr>
        <w:t>E. 2.2</w:t>
      </w:r>
    </w:p>
    <w:p>
      <w:r>
        <w:t>Selon cette disposition,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une réparation du tort moral subi en raison d’une atteinte</w:t>
      </w:r>
    </w:p>
    <w:p>
      <w:r>
        <w:t>- 6 - particulièrement grave à sa personnalité, notamment en cas de privation de liberté (let. c). Bien que cette disposition ne mentionne pas expressément l’ordonnance de non-entrée en matière (art. 310 CPP), une indemnité selon l’art. 429 al. 1 CPP entre également en considération dans cette hypothèse (ATF 139 IV 241 consid. 1). La non-entrée en matière constitue en effet une forme de « classement d’emblée » qui doit être assimilée à un classement après instruction (cf. art. 310 al. 2 CPP, qui renvoie aux dispositions sur le classement ; Mizel/Rétornaz, in : Jeanneret/Kuhn/Perrier Depeursinge [éd.], Commentaire romand, Code de procédure pénale suisse, 2e éd., Bâle 2019, n. 9 ad art. 429 CPP et la réf. citée). De même, la qualité de prévenu, et donc les droits qui en découlent, ne dépend pas de l’ouverture d’une instruction pénale, mais peut déjà résulter de l’existence d’une plainte ou d’une dénonciation (cf. art. 111 al. 1 CPP).</w:t>
      </w:r>
    </w:p>
    <w:p>
      <w:r>
        <w:rPr>
          <w:b/>
        </w:rPr>
        <w:t>E. 2.3.1</w:t>
      </w:r>
    </w:p>
    <w:p>
      <w:r>
        <w:t>La recourante conteste d’abord la réduction de la note d’honoraires opérée par le Ministère public, tant s’agissant du tarif-horaire de 250 fr. appliqué que du retranchement des opérations jugées exagérées. Elle se prévaut du fait que le tarif-horaire de 350 fr. auquel l’avocat a facturé ses honoraires se situe dans la fourchette fixée par le TFIP (Tarif des frais de procédure et indemnités en matière pénale du 28 septembre 2010 ; BLV 312.03.1), que les intérêts de la cause étaient importants en raison des répercussions que la procédure pouvait avoir sur elle et du fait que l’avocat mandaté est expérimenté puisqu’il pratique depuis plus de vingt ans. Elle relève aussi que la Chambre des recours pénale a indemnisé l’avocat au tarif-horaire de 300 fr. dans son arrêt rendu le 9 juin 2023. Concernant les opérations facturées, A.________ fait valoir qu’à teneur de la liste des opérations produite le 22 juin 2023, neuf opérations effectuées entre le 3 octobre et le 22 juin 2023 d’une durée totale de 3 heures 25 étaient incompressibles en tant qu’elles étaient</w:t>
      </w:r>
    </w:p>
    <w:p>
      <w:r>
        <w:t>- 7 - indispensables à la préservation de ses intérêts. La recourante fait enfin grief à la procureure de ne pas avoir suffisamment motivé sa décision, la magistrate n’ayant pas étayé les raisons pour lesquelles elle considérait que certaines opérations étaient exagérées.</w:t>
      </w:r>
    </w:p>
    <w:p>
      <w:r>
        <w:rPr>
          <w:b/>
        </w:rPr>
        <w:t>E. 2.3.2</w:t>
      </w:r>
    </w:p>
    <w:p>
      <w:r>
        <w:t>L'indemnité selon l'art. 429 al. 1 let. a CPP concerne les dépenses du prévenu pour un avocat de choix (ATF 139 IV 241 consid. 1 ; ATF 138 IV 205 consid. 1). Elle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6B_706/2021 du 20 décembre 2021 consid. 2.1.1). L'indemnité visée à l’art. 429 al. 1 let. a CPP doit correspondre au tarif usuel du barreau applicable dans le canton où la procédure se déroule (ATF 142 IV 163 consid. 3.1.2; TF 6B_757/2020 du 4 novembre 2020 consid. 4.1 ; TF 6B_331/2019 du 6 mai 2019 consid. 3.1). Aux termes de l'art. 26a TFIP,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Selon la jurisprudence constante, pour une affaire de difficulté</w:t>
      </w:r>
    </w:p>
    <w:p>
      <w:r>
        <w:t>- 8 - moyenne, l'indemnisation est fixée au tarif horaire de 300 fr. (CREP 3 novembre 2022/831 ; CAPE 25 avril 2022/171; CAPE 12 décembre 2019/428).</w:t>
      </w:r>
    </w:p>
    <w:p>
      <w:r>
        <w:rPr>
          <w:b/>
        </w:rPr>
        <w:t>E. 2.3.3</w:t>
      </w:r>
    </w:p>
    <w:p>
      <w:r>
        <w:t>Le principe du droit à une indemnité pour les dépenses occasionnées par l’exercice raisonnable des droits de procédure de A.________ au sens de l’art. 429 al. 1 let. a CPP est acquis et seule la question du montant alloué par le Ministère public dans la décision querellée doit être examinée par la juge de Céans. La durée globale de 3 heures et 25 minutes encore réclamées au stade du recours n’apparaît pas excessive. Toutefois, il convient de retrancher le temps consacré à l’opération libellée « procuration et copie cliente », soit 10 minutes, cette activité correspondant à des tâches de secrétariat et non à un travail qui justifierait une rémunération au tarif- horaire d’avocat (CREP 3 novembre 2022/831 consid. 2.3). Ce sont dès lors 3 heures et 15 minutes d’activité nécessaire d’avocat qui doivent être indemnisées au tarif horaire de 300 francs, le tarif horaire de 250 fr. n’étant pas suffisant au vu de l’expérience de l’avocat, qui est avocat depuis plus de vingt ans, et le tarif horaire de 350 fr. ne se justifiant pas s’agissant d’une cause qui est simple, conformément à la jurisprudence constante rappelée ci-dessus (cf. consid. 2.3.2). Par conséquent, l’indemnité sera arrêtée à 1'318 fr., ce qui correspond à des honoraires par 975 fr. (3 heures et 15 minutes au tarif horaire de 300 fr.), plus les débours à 5%, par 48 fr. 75, une vacation à 200 fr., comme retenu par la procureure et non contesté par la recourante, et la TVA à 7,7%, par 94 fr. 25.</w:t>
      </w:r>
    </w:p>
    <w:p>
      <w:r>
        <w:rPr>
          <w:b/>
        </w:rPr>
        <w:t>E. 2.4.1</w:t>
      </w:r>
    </w:p>
    <w:p>
      <w:r>
        <w:t>La recourante reproche ensuite au Ministère public de ne pas lui avoir alloué d’indemnité en réparation du tort moral, faisant valoir qu’elle a été marquée par l’enquête pénale et sa convocation devant la police, ce qui justifierait l’allocation d’un montant, même symbolique.</w:t>
      </w:r>
    </w:p>
    <w:p>
      <w:r>
        <w:t>- 9 -</w:t>
      </w:r>
    </w:p>
    <w:p>
      <w:r>
        <w:rPr>
          <w:b/>
        </w:rPr>
        <w:t>E. 2.4.2</w:t>
      </w:r>
    </w:p>
    <w:p>
      <w:r>
        <w:t>Afin d'avoir droit à l'indemnité visée par l'art. 429 al. 1 let. c CPP, l'intensité de l'atteinte à la personnalité doit être analogue à celle requise dans le contexte des art. 28a al. 3 et de l'art. 49 CO (ATF 143 IV 339 consid. 3.1 p. 341 ; TF 6B_1273/2019 du 11 mars 2020 consid. 4.4.1; TF 6B_1342/2016 du 12 juillet 2017 consid. 4.2; TF 6B_129/2016 du 2 mai 2016 consid. 4.2; TF 6B_928/2014 consid. 5.1 non publié aux ATF 142 IV 163). Conformément à la jurisprudence relative à l’art. 49 CO, il n'y a pas lieu de prendre en compte les désagréments inhérents à toute poursuite pénale comme la charge psychique que celle-ci est censée entraîner normalement chez une personne mise en cause (ATF 143 IV 339 précité consid. 3.1; TF 6B_981/2022 du 20 octobre 2022 consid. 3.1 ; TF 6B_571/2021 du 24 novembre 2021 consid. 2.1).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 TF 6B_118/2016 du 20 mars 2017 consid. 6.1).</w:t>
      </w:r>
    </w:p>
    <w:p>
      <w:r>
        <w:rPr>
          <w:b/>
        </w:rPr>
        <w:t>E. 2.4.3</w:t>
      </w:r>
    </w:p>
    <w:p>
      <w:r>
        <w:t>En l’espèce, le fait que A.________ ait été marquée par l’enquête pénale et sa convocation devant la police, comme elle l’invoque, ne justifie pas l’allocation d’une indemnité en réparation du tort moral, même symbolique, dans la mesure où il s’agit de simple désagréments inhérents à toute poursuite pénale (cf. consid. 2.4.2 ci-dessus). En revanche, l’allocation d’une indemnité pour tort moral doit être envisagée du fait que A.________ n’a pas seulement été accusée d’avoir volé notamment une bague de valeur, mais qu’elle a pu craindre de perdre son travail car la plaignante voulait lui causer du tort. Les montants octroyés lors de classements sont toutefois largement inférieurs à la somme réclamée par le conseil du recourant. A</w:t>
      </w:r>
    </w:p>
    <w:p>
      <w:r>
        <w:t>- 10 - titre d’exemple, la Chambre de céans a alloué 500 fr. à un homme accusé par un ami proche de contrainte sexuelle, l’enquête ayant été particulièrement courte (3,5 mois), avec une perquisition, une audition, une incapacité de travail de dix jours et quelques consultations auprès d’un psychothérapeute (CREP 30 septembre 2021/924). Par ailleurs, une indemnité de 1'000 fr. a été allouée à un prévenu qui avait subi neuf années de procédure pénale comme prévenu de lésions corporelles graves par négligence (CAPE 17 août 2021/392). Enfin, la somme importante de 3'000 fr. a été allouée à un homme qui avait été accusé à tort par une femme de viol et de trafic de drogue. L’enquête avait conduit à une importante ingérence dans la sphère intime du prévenu, qui avait dû, pour se disculper, parler de son homosexualité, de sa maladie psychiatrique et des troubles érectiles permanents qu’il présentait en raison de la médication qu’il prenait ; il avait aussi fait l’objet de mesures de contrainte sous la forme d’une surveillance rétroactive de son téléphone portable, d’une perquisition de son domicile menée au milieu de la nuit avec un chien et d’un examen capillaire pour déterminer s’il consommait des stupéfiants (CREP 16 mai 2022/344 confirmé par le Tribunal fédéral 6B_981/2022 du 20 octobre 2022). En l’occurrence, la crainte que la recourante a eue de perdre son travail en raison des accusations de vol dont elle a fait l’objet et du fait que la plaignante voulait la dénoncer auprès de son employeur justifie, tout bien considéré, l’allocation d’une indemnité de 200 fr., valeur échue.</w:t>
      </w:r>
    </w:p>
    <w:p>
      <w:r>
        <w:rPr>
          <w:b/>
        </w:rPr>
        <w:t>E. 2.5.1</w:t>
      </w:r>
    </w:p>
    <w:p>
      <w:r>
        <w:t>A.________ réclame enfin un montant de 403 fr. 35 pour les frais non compensés mis à sa charge par la Chambre des recours pénale. Elle soutient que ces frais sont étroitement liés à la procédure, font partie de sa défense effective et que ce n’est que par le biais d’un recours, certes partiellement admis, que la procureure a dû reprendre le dossier et arrêter une indemnité.</w:t>
      </w:r>
    </w:p>
    <w:p>
      <w:r>
        <w:t>- 11 -</w:t>
      </w:r>
    </w:p>
    <w:p>
      <w:r>
        <w:rPr>
          <w:b/>
        </w:rPr>
        <w:t>E. 2.5.2</w:t>
      </w:r>
    </w:p>
    <w:p>
      <w:r>
        <w:t>A teneur de l’art. 426 al. 1 CPP, le prévenu supporte les frais de procédure s’il est condamné. Font exception les frais afférents à la défense d’office ; l’art. 135 al. 4 CPP est réservé.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L’autorité pénale peut réduire ou refuser l’indemnité allouée au prévenu en cas d’acquittement total ou partiel fondée sur l’art. 429 al. 1 let. b CPP lorsque le prévenu a provoqué illicitement et fautivement l’ouverture de la procédure pénale ou a rendu plus difficile la conduite de celle-ci (art. 430 al. 1 let. a CPP). La question de l'indemnisation du prévenu (art. 429 CPP) pour la procédure de première instance doit être traitée en relation avec celle des frais (art. 426 CPP). La question de l’indemnisation doit être tranchée après la question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p. 211; ATF 137 IV 352 consid. 2.4.2 p. 357 ; TF 6B_15/2021 et 6B_32/2021 du 12 novembre 2021 consid. 4.1.2 et les réf. citées; TF 6B_1090/2020 du 1er avril 2021 consid. 2.1.2; TF 6B_1011/2018 du 11 décembre 2018 consid. 3.1).</w:t>
      </w:r>
    </w:p>
    <w:p>
      <w:r>
        <w:rPr>
          <w:b/>
        </w:rPr>
        <w:t>E. 2.5.3</w:t>
      </w:r>
    </w:p>
    <w:p>
      <w:r>
        <w:t>En l’espèce, par arrêt du 9 juin 2023, la Chambre des recours pénale a partiellement admis le recours de A.________ contre l’ordonnance de non-entrée en matière, en tant qu’elle a considéré qu’une indemnité à forme de l’art. 429 al. 1 CPP devait lui être allouée. L’autorité de recours a au surplus rejeté le recours et confirmé l’ordonnance du Ministère public, considérant, d’une part, que c’était à raison que la procureure n’avait pas</w:t>
      </w:r>
    </w:p>
    <w:p>
      <w:r>
        <w:t>- 12 - formellement ouvert une instruction pénale au sens de l’art. 309 CPP car les opérations effectuées étaient caractéristiques de la phase précédant l’ouverture d’une instruction et qu’aucune mesure de contrainte n’avait été ordonnée et, d’autre part, que la procureure était fondée à ne pas entrer en matière sur la plainte de E.________. Pour ces motifs, elle a mis une partie des frais à la charge de A.. Le montant de 403 fr. 35 réclamé par la recourante ne saurait ainsi lui être alloué. En effet, il correspond aux frais non compensés mis à la charge de la recourante car les moyens au fond qu’elle a soulevés à l’encontre de l’ordonnance de non-entrée en matière ont été rejetés.</w:t>
      </w:r>
    </w:p>
    <w:p>
      <w:r>
        <w:rPr>
          <w:b/>
        </w:rPr>
        <w:t>E. 3</w:t>
      </w:r>
    </w:p>
    <w:p>
      <w:r>
        <w:t>L’indemnité pour frais de défense au sens de l’art. 429 al. 1 let. a CPP et l’indemnité pour réparation du tort moral au sens de l’art. 429 al. 1 let. c CPP doivent être laissées à la charge de l’Etat. A ce stade de la procédure, on ne saurait en effet les mettre à la charge de la partie plaignante.</w:t>
      </w:r>
    </w:p>
    <w:p>
      <w:r>
        <w:rPr>
          <w:b/>
        </w:rPr>
        <w:t>E. 4</w:t>
      </w:r>
    </w:p>
    <w:p>
      <w:r>
        <w:t>En définitive, le recours doit être partiellement admis et la décision du Ministère public modifiée dans le sens des considérants qui précèdent. La décision doit être maintenue pour le surplus. Vu l’admission partielle du recours, les frais de la procédure, constitués en l’espèce du seul émolument d'arrêt, par 1’080 fr. (art. 20 al. 1 TFIP), seront mis par un tiers à la charge de la recourante, soit par 360 fr., et laissés à la charge de l’Etat pour le surplus (art. 428 al. 1 et 4 CPP). La recourante, qui a procédé avec l’assistance d’un conseil de choix et qui a obtenu partiellement gain de cause, a droit, à la charge de l’Etat, à une indemnité réduite pour ses dépenses obligatoires occasionnées par la procédure de recours (art. 436 al. 3 CPP, par analogie). Au vu du mémoire de recours, les honoraires doivent être fixés à 900 fr., correspondant à trois heures d’activité nécessaire d’avocat à 300 fr. de l’heure (cf. art. 26a al. 3 TFIP), auxquels s’ajoutent les débours forfaitaires de 2 %, par 18 fr. (cf. art. 26a TFIP qui renvoie à l'art. 19 al. 2</w:t>
      </w:r>
    </w:p>
    <w:p>
      <w:r>
        <w:t>- 13 - TDC [tarif des dépens en matière civile du 23 novembre 2010 ; BLV 270.11.6]), ainsi qu’un montant correspondant à la TVA, par 70 fr. 70. La pleine indemnité s’élève donc à 988 fr. 70. Compte tenu du fait qu’elle doit être réduite dans la même proportion que les frais, soit d’un tiers, l’indemnité finale s’élève à 660 fr. en chiffres arrondis. Par ces motifs, le juge unique prononce : I. Le recours est partiellement admis. II. La décision du 27 juin 2023 est modifiée à ses chiffres I et II et par l’ajout d’un chiffre II bis comme suit : « I. Fixe à 1'318 fr. (mille trois cent dix-huit francs), débours et TVA compris, l’indemnité allouée à la prévenue en application de l’art. 429 al. 1 let. a CPP, à la charge de l’Etat ; II. Fixe à 200 fr. (deux cents francs), valeur échue, l’indemnité pour tort moral allouée à A.________ en application de l’art. 429 al. 1 let. c CPP, à la charge de l’Etat ; II bis. Rejette toute autre indemnité au sens de l’art. 429 al. 1 let. c CPP. » La décision est maintenue pour le surplus. III. Les frais d’arrêt, par 1’080 fr. (mille huitante francs), sont mis pour un tiers, soit par 360 fr. (trois cent soixante francs), à la charge de A.________, le solde étant laissé à la charge de l’Etat. IV. Une indemnité de 660 fr. (six cent soixante francs) est allouée à A.________ pour ses dépenses obligatoires occasionnées par la procédure de recours, à la charge de l’Etat. V. L’arrêt est exécutoire. La juge unique : La greffière :</w:t>
      </w:r>
    </w:p>
    <w:p>
      <w:r>
        <w:t>- 14 - Du Le présent arrêt, dont la rédaction a été approuvée à huis clos, est notifié, par l'envoi d'une copie complète, à : - Me Pierre-Xavier Luciani, avocat (pour A.________),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