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PE22.019924 vom 31. Juli 2024</w:t>
      </w:r>
    </w:p>
    <w:p>
      <w:r>
        <w:t>VD Tribunal cantonal, 2024-07-31, FR</w:t>
      </w:r>
    </w:p>
    <w:p>
      <w:r>
        <w:rPr>
          <w:b/>
        </w:rPr>
        <w:t xml:space="preserve">Quelle: </w:t>
      </w:r>
      <w:r>
        <w:t>https://mcp.opencaselaw.ch/entscheid/vd_gerichte_PE22.019924</w:t>
      </w:r>
    </w:p>
    <w:p>
      <w:r>
        <w:t>FR: VD_GERICHTE PE22.019924 du 31 juillet 2024</w:t>
      </w:r>
    </w:p>
    <w:p>
      <w:r>
        <w:t>IT: VD_GERICHTE PE22.019924 del 31 luglio 2024</w:t>
      </w:r>
    </w:p>
    <w:p>
      <w:pPr>
        <w:pStyle w:val="Heading2"/>
      </w:pPr>
      <w:r>
        <w:t>Erwägungen</w:t>
      </w:r>
    </w:p>
    <w:p>
      <w:r>
        <w:rPr>
          <w:b/>
        </w:rPr>
        <w:t>E. 4</w:t>
      </w:r>
    </w:p>
    <w:p>
      <w:r>
        <w:t>mars 2021 consid. 1.1).</w:t>
      </w:r>
    </w:p>
    <w:p>
      <w:r>
        <w:t>- 21 - Les déclarations de la victime constituent un élément de preuve. Le juge doit, dans l'évaluation globale de l'ensemble des éléments probatoires rassemblés au dossier, les apprécier librement (TF 6B_802/2021 du 10 février 2022 consid. 1 .1 ; TF 6B_366/2021 du 26 janvier 2022 consid. 2.1.2 ;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 4.2.2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aCP) et du viol (art. 190 aCP), la victime est incapable de discernement ou de résistance, non en raison d'une contrainte exercée par l'auteur, mais pour d'autres causes (TF 6B_737/2022 du 1er mai 2023 consid. 4.1 et la réf. cit.). L'art. 191 aCP vise une incapacité de discernement ou de résistance totale, qui peut se concrétiser par l'impossibilité pour la victime de se déterminer en raison</w:t>
      </w:r>
    </w:p>
    <w:p>
      <w:r>
        <w:t>- 22 -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 TF 6B_737/2022 précité et la réf. cit.). L'art. 191 aCP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 cit.). Sur le plan subjectif, l'art. 191 aCP requiert l'intention, étant précisé que le dol éventuel suffit (TF 6B_1247/2023 du 10 juin 2024 consid. 2.1.3 et les réf. cit.).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 cit.). Déterminer ce qu'une personne a su, envisagé, voulu ou accepté relève des constatations de fait (ATF 142 IV 137 consid. 12 ; ATF 141 IV 369 consid. 6.3).</w:t>
      </w:r>
    </w:p>
    <w:p>
      <w:r>
        <w:rPr>
          <w:b/>
        </w:rPr>
        <w:t>E. 4.3</w:t>
      </w:r>
    </w:p>
    <w:p>
      <w:r>
        <w:t>Le Tribunal correctionnel a retenu en substance que les déclarations de la victime étaient crédibles. Elle avait pu dire à quel arrêt de bus ils avaient pris celui-ci ; son père avait confirmé qu'elle n'était pas dans son état normal (complètement « shlass » et « shootée ») lorsqu'il l'avait récupérée à la gare de Rolle et que le lendemain, elle était encore vaseuse, même s'il n'était pas retenu que le prévenu l'avait droguée à son</w:t>
      </w:r>
    </w:p>
    <w:p>
      <w:r>
        <w:t>- 23 - insu. S'agissant de l'agression sexuelle, elle était confirmée par les confidences que la victime avait faites à son père le lendemain des faits en réponse à sa demande, à son frère [...] peu de temps après les faits, à A.A.________ lors de leur hospitalisation commune en 2010, ainsi qu'à divers médecins consultés par la victime. De même, il ressortait des différents rapports médicaux au dossier que, si G.F.________ était déjà suivie médicalement avant le 18 août 2009, son état de santé psychique s'était détérioré par la suite. Selon les déclarations de B.F.________, la victime avait notamment été hospitalisée à deux reprises pour des tentatives de suicide et avait souffert d'anorexie après les faits incriminés. Par ailleurs, le Dr G.________, qui avait suivi la victime, avait relevé lors de son audition que les actes auto-agressifs commis par G.F.________ préexistaient au 18 août 2009, mais s'étaient intensifiés par la suite et qu'ils étaient compatibles avec l'agression sexuelle en cause. En outre, la victime était atteinte du syndrome de Master et Allen à la suite des faits incriminés, selon les constations de sa gynécologue (P. 39/2). Enfin, le Tribunal correctionnel peinait à déterminer l'éventuel mobile de la victime. Cette appréciation ne saurait être suivie. Les faits reprochés à A.O.________ se sont déroulés dans sa chambre, sans témoin direct et la Cour de céans doit se fonder sur l’ensemble des éléments probatoires pour trancher entre deux versions contradictoires, pour déterminer laquelle est la plus crédible. Or, le récit de G.F.________ n'est pas fiable à plusieurs égards. En particulier, la temporalité et les circonstances du dévoilement interpellent la cour de céans. A l'époque des faits, la plaignante est décrite comme fragile. C’est d’ailleurs ce que son père, interrogé par la Police, évoque en premier lors de son audition, avant- même de témoigner sur les faits (« Il a expliqué que sa fille était psychologiquement fragile à cette époque. Il a évoqué des troubles autistiques d'un frère lesquels perturbaient l'ensemble de la famille » [P. 10, p. 3]).</w:t>
      </w:r>
    </w:p>
    <w:p>
      <w:r>
        <w:t>- 24 - Dès l'été 2009, la plaignante a vu son état psychologique se péjorer et il est exact que, comme retenu par le Tribunal correctionnel, c'est un indice qu'un événement traumatique a pu avoir lieu. Toutefois, G.F.________ a été hospitalisée en 2010 et l'anamnèse du compte-rendu d'hospitalisation met en avant un sentiment d'abandon (« elle se sent alors abandonnée par ses parents dont l'attention est fixée sur son frère [...] chez qui une psychose infantile est suspectée » [P. 25/2]). Durant les entretiens avec les thérapeutes, elle fait part d'un abus par son petit ami, majeur, qui aurait mis du LSD dans son verre. Elle est ambivalente s'agissant de vouloir déposer plainte (P. 25/1 annexes), ambivalence qui semble résulter des réticences alors exprimées par les parents. Pour le Dr G.________, qui suivait la plaignante déjà avant les faits, le fait que sa patiente soit restée dans cette pièce avec A.O.________ et qu'elle ne se rappelle pas de ce moment-là, fait que pour elle, la conclusion la plus logique était qu’elle s’était fait abuser (PV aud. 9, l. 90 ss). Dans les comptes-rendus d’hospitalisation, il est indiqué que la plaignante fait état d’un abus sexuel, par son petit ami, qui avait mis du LSD dans son verre. Pour les médecins, ces déclarations doivent en substance être mises en perspective avec le sentiment d’abandon, dès lors que la patiente « attire l'attention de garçons plus âgés qui pourraient interpréter son comportement comme un appel à la sexualité alors qu'elle cherche à combler son manque d'affection maternelle (P. 25/2, p. 2/4). Les médecins relèvent d’ailleurs que les troubles d’G.F.________ étaient antérieurs, faisaient suite à un premier épisode, lors duquel un homme avait tenu des propos outrageants envers G.F.________, qui avait déposé plainte, et soulignent que les troubles avaient une double fonction, soit celle d’obliger sa mère à prendre soin d’elle et celle de protéger G.F.________ des avances des garçons qu’elle gérait difficilement. Il ressort ainsi des documents médicaux rédigés à l’époque des faits que la plaignante était extrêmement fragile déjà avant de rencontrer l’intimé, qu’elle ne se souvenait pas de ce qui s’était passé, ce dont elle déduisait qu’elle avait été droguée, et qu’elle était à la recherche de l’attention de sa mère.</w:t>
      </w:r>
    </w:p>
    <w:p>
      <w:r>
        <w:t>- 25 - Le 24 juin 2019, soit 10 ans après les faits supposés, la plaignante a déclaré à l'un de ses gynécologues, soit le Dr B.________, avoir été abusée cette même année, après avoir été droguée. Auditionnée devant le Tribunal correctionnel s’agissant de cet abus, elle infirmera celui-ci (jugement, p. 9), alors que le médecin précité est pourtant clair (P. 17) : « Le 24 juin 2019, j'ai reçu Mme G.F.________ à ma consultation qui me mentionne avoir téléphoné à LAVI car elle dit : « avoir été abusée mardi dernier sous Temesta et n'a rien pu faire pour se défendre ». Il s'agit de notes de consultation en contradiction manifeste avec les déclarations de la plaignante aux débats de première instance, laquelle mentionne la crainte de maladies sexuellement transmissibles (jugement p. 9). A l’audience d’appel, confrontée à l’évolution de ses déclarations, elle a indiqué avoir consulté la LAVI uniquement parce qu’elle était en souci d’avoir eu un rapport non protégé et qu’elle se demandait si c’était légitime qu’elle se sente contrariée. Ces explications, tardives et en contradiction totale avec ce qui figure dans le rapport du Dr B.________, manquent de cohésion et viennent ébranler la crédibilité des déclarations de la partie plaignante dans la présente affaire, dès lors qu’elles mettent en exergue une possible illusion cognitive. Au début du mois d’avril 2022, soit 13 ans après les faits litigieux, la plaignante évoque au Dr T.________, psychiatre et psychothérapeute, qui a assuré le suivi de la plaignante depuis 2014 en raison de troubles d'anxiété et de conflits (études, maison, travail), « une expérience de relation sexuel (sic) non consentie ». A ce moment-là, les souvenirs sont « vagues et assez imprécises (sic) ayant la croyance et la pensée d'avoir vécu des abus depuis l'enfance » (P. 24, R. 3). Jusque-là, rien n'indique que les prétendus abus soient ceux de la présente affaire. Devant le thérapeute, le souvenir est très imprécis, jusqu'en juillet 2023, moment où la plaignante a été capable de se rappeler de l'expérience de l'époque. Or, la plainte date du 27 octobre 2022 et dans ce document, les faits sont décrits avec une certaine précision (date, début de soirée, préliminaires, gestes sexuels et viol). Ainsi, les déclarations faites en cours</w:t>
      </w:r>
    </w:p>
    <w:p>
      <w:r>
        <w:t>- 26 - d'enquête et la version livrée au thérapeute sont extrêmement divergentes. A cet égard, l’explication de la plaignante à l’audience d’appel, à savoir une erreur de la part du médecin dans la retranscription de la date, ne convainc pas, en particulier au vu des éléments mentionnés ci-après. Le Dr T.________ dit que sa patiente n'a que des souvenirs vagues et imprécis jusqu'à ce qu'il obtienne « subitement », à fin juillet 2023, plus de détails sur l'épisode de 2009 (P. 24, R. 3), et ce alors que la plaignante signe le 22 juin 2023 (P. 13) sa levée du secret médical à l'intention des médecins. La version détaillée livrée au thérapeute semble dès lors destinée à la procédure. Par ailleurs, cette version ne correspond pas à celle livrée par la plaignante elle-même dans le cadre de la procédure ; elle souffre d'exagérations (la plaignante pense que le prévenu va la tuer, elle est dans une maison avec un groupe d'amis). S'agissant en outre d'un autre suivi gynécologique, pour lequel l’intimée dit ne pas avoir pu récupérer le dossier, parce que cela embêtait la secrétaire (jugement, p. 9), elle évoque une opération en raison d'une endométriose et le médecin, qui a fait un compte-rendu de son suivi, ne parle ni d'opération, ni de violence sexuelle, ni même de « signes ou séquelles de violences sexuelles » (P. 19). Dans ces circonstances, plaider, 15 ans après les faits litigieux, que la plaignante souffre de séquelles importantes (syndrome de Master et Allen ; P. 39/2) qu’il faut mettre en lien avec la pratique, par le prévenu, du « Fist fucking », pratique susceptible de créer des dommages physiologiques extrêmement importants (CREP 1er juillet 2020/515) est vain. Rien n'indique que ce syndrome, attesté par une ostéopathe à la veille de l'audience de jugement, soit lié à la soirée du 18 août 2009, dès lors qu'il n'a jamais été constaté préalablement. Enfin, contrairement à ce que retient le Tribunal correctionnel, l’absence de mobile de la partie plaignante pour dénoncer faussement des faits n’est pas un indice à charge. Son parcours est empreint de difficultés qui se sont manifestées déjà avant les événements litigieux par différents troubles du comportement. Il paraît inopportun à ce stade de se questionner sur ses motivations, sur la possibilité d'une confusion ou d’une réalité subjective reconstruite.</w:t>
      </w:r>
    </w:p>
    <w:p>
      <w:r>
        <w:t>- 27 - A cela s'ajoute que globalement, la version de la partie plaignante, selon laquelle elle avait décidé de rompre ce soir-là, malgré le fait d'ailleurs qu'elle était très amoureuse encore au mois de juillet, avant que le prévenu ne parte en Afrique (cf. message du 9 juillet 2009), et qu'une fois la rupture consommée elle décide d'aller fumer un joint avec lui et d'aller se poser un moment chez lui, interpelle la cour de céans. La version antagoniste du prévenu, selon laquelle elle n'avait pas eu l'intention de rompre et que « si cela avait été le cas, [il] ne l'aurai[t] pas invitée chez [lui] » (PV aud. 5, l. 59 s.) et qu'il a décidé de rompre au moment où il a compris qu'elle l'accusait de l'avoir droguée à son insu et qu'il était « exclu qu'il reste dans une relation avec quelqu'un qui [le] soupçonne de telles choses » (jugement, p. 6), paraît plus vraisemblable. A cela s'ajoute que le prévenu a été constant dans ses déclarations, qui apparaissent mesurées, et qu'il s'est présenté au Tribunal correctionnel le</w:t>
      </w:r>
    </w:p>
    <w:p>
      <w:r>
        <w:rPr>
          <w:b/>
        </w:rPr>
        <w:t>E. 8</w:t>
      </w:r>
    </w:p>
    <w:p>
      <w:r>
        <w:t>août 2024, soit dix jours avant la prescription des infractions qui lui sont reprochées. Si cela ne saurait bien sûr le disculper, ce n'est pas l'attitude procédurale qu'adopterait une personne coupable. Au vu de l’ensemble des éléments qui précèdent, il convient de libérer le prévenu au bénéfice du doute : s'il est certain que les deux protagonistes se sont rendus au domicile du prévenu le 18 août 2009, après avoir bu un verre au Café [...] et fumé un joint de marijuana sur l'esplanade de la cathédrale de Lausanne, comme retenu par le Tribunal correctionnel, la thèse de l'ingestion d'une substance par la plaignante, à son insu, ne saurait être retenue faute d'éléments probants. Ce qu'il s'est ensuite passé dans la chambre du prévenu ne peut être établi avec suffisamment de certitude. Certes, comme retenu par le Tribunal correctionnel, il est vraisemblable que G.F.________ se soit trouvée dans un état qui l'aurait laissée sans défense face à une agression sexuelle, notamment au vu des déclarations de son père. Rien n'indique toutefois que qu'il y ait eu agression ou que l’appelant ait tiré profit de cette situation.</w:t>
      </w:r>
    </w:p>
    <w:p>
      <w:r>
        <w:t>- 28 - L’appelant doit dès lors être libéré du chef d'accusation d'actes d'ordre sexuels commis sur une personne incapable de discernement ou de résistance. 5. Au vu de l’acquittement, il convient de rejeter les conclusions civiles de G.F.________. Il convient en outre de laisser à la charge de l'Etat les frais mis à la charge de l'appelant en première instance, y compris les indemnités dues à son défenseur d'office et au conseil d’office de la prénommée. 6. 6.1 L’appelant sollicite une indemnité fondée sur l’art. 429 al. 1 let. c CPP pour compenser le tort moral subi, résultant de la diffusion publique de sa condamnation relayée par les médias, qui aurait généré un climat de méfiance et l’opprobre. 6.2 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 TF 6B_1246/2022 précité consid. 9.1.4) Pour justifier un droit à l'indemnité visée par l'art. 429 al. 1 let. c CPP, l'intensité de l'atteinte à la personnalité doit être analogue à celle requise dans le contexte de l'art. 49 CO (loi fédérale du 30 mars 1911 complétant le Code civil suisse ; RS 220) (ATF 142 IV 163). Outre la détention, peut constituer une grave atteinte à la personnalité, par</w:t>
      </w:r>
    </w:p>
    <w:p>
      <w:r>
        <w:t>- 29 -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(TF 6B_1246/2022 précité consid. 9.1.5). La gravité objective de l'atteinte doit être ressentie par le prévenu comme une souffrance morale. Il incombe à ce dernier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Le Tribunal fédéral n'intervient que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(TF 6B_1246/2022 précité consid. 9.1.5). 6.3 En l’espèce, s’il est vraisemblable que l’appelant a subi une souffrance morale, aucune atteinte grave à sa personnalité en lien avec la procédure à proprement parler n’a pu être établie. Si la couverture médiatique de sa condamnation a pu avoir des répercussions sociales et professionnelles, il ne s’agissait pas d’une exposition importante justifiant une réparation de la part de l’Etat, son nom n’ayant pas été cité. L’arrêt de la Cour d’appel pénale, dont l’appelant peut se prévaloir auprès de ses proches, de ses connaissances, voire des médias, suffit à réparer l’atteinte subie.</w:t>
      </w:r>
    </w:p>
    <w:p>
      <w:r>
        <w:t>- 30 - 7. En définitive, l’appel est admis et le jugement attaqué modifié dans le sens des considérants qui précèdent. Il n’y a pas lieu de s’écarter de la liste des opérations produite par Me Patrick Guy Dubois, défenseur d’office d’A.O.________, si ce n’est pour tenir compte de la durée effective de l’audience, soit 2h30. C’est donc une indemnité de 3'569 fr. 90, correspondant à 17h20 d’activité nécessaire d’avocat breveté au tarif horaire de 180 fr., soit à 3’120 fr. d’honoraires, plus une vacation à 120 fr., plus 62 fr. 40 de débours (2% des honoraires), plus 267 fr. 50 de TVA (8,1 %), qui sera allouée à Me Patrick Guy Dubois. Vu la liste des opérations de Me Samuel Guignard, dont il n’y a pas lieu de s’écarter, c’est une indemnité de 3'067 fr. 10 qui lui sera allouée. Vu l’issue de la cause, les frais de la procédure d'appel, par 9'207 fr., constitués de l'émolument du présent jugement, par 2’570 fr. (art. 21 al. 1 TFIP [Tarif des frais de procédure et indemnités en matière pénale du 28 septembre 2010 ; BLV 312.03.1]), ainsi que des indemnités allouées au défenseur d’office, par 3'569 fr. 90, et au conseil d’office, par 3'067 fr. 10, seront laissés à la charge de l’Etat. La Cour d’appel pénale, appliquant les art. 398 ss CPP, prononce : I. L’appel est admis. II. Le jugement rendu le 31 juillet 2024 par le Tribunal correctionnel de l’arrondissement de Lausanne est modifié comme il suit, le dispositif étant désormais le suivant :</w:t>
      </w:r>
    </w:p>
    <w:p>
      <w:r>
        <w:t>- 31 - "I. libère A.O.________ des chefs d’accusation de contrainte sexuelle, viol et actes d’ordre sexuel commis sur une personne incapable de discernement ou de résistance ; II. rejette les conclusions civiles de G.F.________ ; III. rejette la demande d’indemnité d’A.O.________ fondée sur l’art. 429 al. 1 let. c CPP ; V. arrête à 8'622 fr. 45 l’indemnité allouée à Me Samuel Guignard, conseil d’office de G.F.________, débours, vacations et TVA compris ; VI. arrête à 9'621 fr. l’indemnité allouée à Me Patrick Guy Dubois, défenseur d’office d’A.O.________, débours, vacations et TVA compris ; VII. laisse les frais de la cause, par 26'607 fr. 45, à la charge de l’Etat, y compris les indemnités allouées à Me Samuel Guignard, conseil d’office de G.F.________, et à Me Patrick Guy Dubois, défenseur d’office du prévenu, arrêtées sous chiffres V et VI ci-dessus." III. Une indemnité de défenseur d'office pour la procédure d'appel d'un montant de 3'569 fr. 90, TVA et débours inclus, est allouée à Me Patrick Guy Dubois. IV.Une indemnité de conseil d'office pour la procédure d'appel d'un montant de 3'067 fr. 10, TVA et débours inclus, est allouée à Me Samuel Guignard. V. Les frais d'appel, par 9'207 fr., y compris les indemnités allouées aux défenseur et conseil d'office, sont laissés à la charge de l’Etat. VI. Le jugement motivé est exécutoire. La présidente : La greffière :</w:t>
      </w:r>
    </w:p>
    <w:p>
      <w:r>
        <w:t>- 32 - Du Le jugement qui précède, dont le dispositif a été communiqué par écrit aux intéressés le 5 mars 2025, est notifié, par l'envoi d'une copie complète, à : - Me Patrick Guy Dubois, avocat (pour A.O.________), - Me Samuel Guignard, avocat (pour G.F.________), - Ministère public central, et communiqué à : - M. le Président du Tribunal correctionnel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