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PE22.019671 vom 8. Juli 2024</w:t>
      </w:r>
    </w:p>
    <w:p>
      <w:r>
        <w:t>VD Tribunal cantonal, 2024-07-08, FR</w:t>
      </w:r>
    </w:p>
    <w:p>
      <w:r>
        <w:rPr>
          <w:b/>
        </w:rPr>
        <w:t xml:space="preserve">Quelle: </w:t>
      </w:r>
      <w:r>
        <w:t>https://mcp.opencaselaw.ch/entscheid/vd_gerichte_PE22.019671</w:t>
      </w:r>
    </w:p>
    <w:p>
      <w:r>
        <w:t>FR: VD_GERICHTE PE22.019671 du 8 juillet 2024</w:t>
      </w:r>
    </w:p>
    <w:p>
      <w:r>
        <w:t>IT: VD_GERICHTE PE22.019671 del 8 luglio 2024</w:t>
      </w:r>
    </w:p>
    <w:p>
      <w:pPr>
        <w:pStyle w:val="Heading2"/>
      </w:pPr>
      <w:r>
        <w:t>Erwägungen</w:t>
      </w:r>
    </w:p>
    <w:p>
      <w:r>
        <w:rPr>
          <w:b/>
        </w:rPr>
        <w:t>E. 5.1</w:t>
      </w:r>
    </w:p>
    <w:p>
      <w:r>
        <w:t>L’appelant reconnaît en revanche avoir résilié l’abonnement de téléphone de sa compagne et avoir déposé les affaires de cette dernière devant la porte du logement pendant qu’elle était sortie, celle-ci ayant en outre été empêchée de pénétrer dans le domicile à son retour car elle ne disposait d’aucune clé (cf. cas 3 de l’acte d’accusation ; supra ch. 2.3). Il conteste cependant que ces faits soient constitutifs de contrainte. Il soutient que l’abonnement de téléphonie était à son nom à lui, que cette résiliation était justifiée vu les problèmes financiers que la plaignante lui avait causés et que celle-ci n’avait aucun droit sur l’appartement.</w:t>
      </w:r>
    </w:p>
    <w:p>
      <w:r>
        <w:t>- 24 -</w:t>
      </w:r>
    </w:p>
    <w:p>
      <w:r>
        <w:rPr>
          <w:b/>
        </w:rPr>
        <w:t>E. 5.2.1</w:t>
      </w:r>
    </w:p>
    <w:p>
      <w:r>
        <w:t>La disposition légale dont il est question en l’espèce a subi des modifications au 1er juillet 2023 (RO 2023 p. 259 ; FF 2018 p. 2889). La Cour de céans constate que celles-ci sont d’ordre grammatical uniquement et n’ont pas d’impact sur la portée de l’infraction ou la peine qui y est assortie. Ainsi, conformément à l’art. 2 al. 1 CP (Code pénal suisse du 21 décembre 1937 ; RS 311.0), c’est la version de la disposition en vigueur au moment des faits qui trouve application.</w:t>
      </w:r>
    </w:p>
    <w:p>
      <w:r>
        <w:rPr>
          <w:b/>
        </w:rPr>
        <w:t>E. 5.2.2</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w:t>
      </w:r>
    </w:p>
    <w:p>
      <w:r>
        <w:t>- 25 -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5.3</w:t>
      </w:r>
    </w:p>
    <w:p>
      <w:r>
        <w:t>En l’espèce, on notera que le seul fait de déposer les affaires de la plaignante derrière la porte du logement et de l’empêcher d’y entrer est constitutif de cette infraction, ce d’autant que la précitée y vivait avec l’appelant depuis plusieurs mois et qu’il s’agissait donc, de facto, de leur logement commun. Partant, la condamnation de l’appelant pour contrainte à raison de ces faits doit être confirmée.</w:t>
      </w:r>
    </w:p>
    <w:p>
      <w:r>
        <w:rPr>
          <w:b/>
        </w:rPr>
        <w:t>E. 6.1</w:t>
      </w:r>
    </w:p>
    <w:p>
      <w:r>
        <w:t>L'appelant étant libéré des chefs de prévention de lésions corporelles simples qualifiées, de voies de fait qualifiées, d’injure et de menaces qualifiées, il y a lieu de revoir la peine prononcée à son encontre.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- 26 -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6.3</w:t>
      </w:r>
    </w:p>
    <w:p>
      <w:r>
        <w:t>En l’espèce, à charge de l’appelant, on retiendra son absence totale de collaboration à l’enquête, celui-ci s’étant borné à nier les faits et à se positionner en victime. Avec la première juge, on relèvera qu’il a en outre fallu que la Procureure décerne un mandat d’amener et que la police aille le chercher pour l’amener à son audition devant le Ministère public, dans la mesure où il ne s’était pas présenté aux deux convocations précédentes. Aux débats d’appel, il a persisté dans cette posture et a fait une impression désastreuse. Il n’a démontré aucune prise de conscience et n’a formulé aucun regret. On retiendra encore l’existence d’une précédente condamnation. Il n’y a aucun élément à décharge. Ainsi, une peine pécuniaire de 30 jours-amende se justifie pour sanctionner le comportement de l’appelant. Au vu de sa situation financière, le montant du jour-amende, fixé à 30 fr., ne prête pas le flanc à la critique. L’octroi du sursis, dont les conditions sont réalisées, avec un délai d’épreuve de deux ans, doit être confirmé également (art. 42 et 44 CP). L’amende sera en revanche supprimée, l’appelant étant libéré de la</w:t>
      </w:r>
    </w:p>
    <w:p>
      <w:r>
        <w:t>- 27 - contravention de voies de fait qualifiées. Le jugement entrepris sera donc modifié sur ce point également.</w:t>
      </w:r>
    </w:p>
    <w:p>
      <w:r>
        <w:rPr>
          <w:b/>
        </w:rPr>
        <w:t>E. 7</w:t>
      </w:r>
    </w:p>
    <w:p>
      <w:r>
        <w:t>Compte tenu des éléments qui précèdent, respectivement de l’acquittement du prévenu des chefs de prévention de lésions corporelles simples qualifiées, de voies de fait qualifiées, d’injure et de menaces qualifiées, il n’y a pas lieu d’allouer une indemnité pour tort moral à la plaignante. Il lui sera néanmoins donné acte de ses réserves civiles et le jugement sera modifié sur ce point.</w:t>
      </w:r>
    </w:p>
    <w:p>
      <w:r>
        <w:rPr>
          <w:b/>
        </w:rPr>
        <w:t>E. 8.1</w:t>
      </w:r>
    </w:p>
    <w:p>
      <w:r>
        <w:t>L’appelant conclut à l’allocation, à la charge de l’Etat, d’une indemnité pour les dépenses occasionnées par l’exercice raisonnable de ses droits de procédure d’un montant de 2'360 fr. 10 pour la procédure de première instance, respectivement de 3'500 fr. pour la procédure d’appel.</w:t>
      </w:r>
    </w:p>
    <w:p>
      <w:r>
        <w:rPr>
          <w:b/>
        </w:rPr>
        <w:t>E. 8.2.1</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L'indemnité concerne les dépenses du prévenu pour un avocat de choix. Elle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w:t>
      </w:r>
    </w:p>
    <w:p>
      <w:r>
        <w:t>- 28 -</w:t>
      </w:r>
    </w:p>
    <w:p>
      <w:r>
        <w:rPr>
          <w:b/>
        </w:rPr>
        <w:t>E. 8.2.2</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7B_343/2024 du 22 janvier 2025 consid. 3.2).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 TF 7B_343/2024 précité).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rPr>
          <w:b/>
        </w:rPr>
        <w:t>E. 8.3</w:t>
      </w:r>
    </w:p>
    <w:p>
      <w:r>
        <w:t>Comme mentionné ci-avant, l’appelant n’a pas répondu aux convocations des enquêteurs au point d’être condamné à une amende et de faire l’objet d’un mandat d’amener. Par son comportement, il a donc rendu plus difficile la conduite de la procédure. C’est donc à bon droit que la première juge a refusé de lui allouer une indemnité fondée sur l’art. 429 CPP (cf. art. 430 al. 1 let. a CPP), de sorte que son grief doit être rejeté.</w:t>
      </w:r>
    </w:p>
    <w:p>
      <w:r>
        <w:rPr>
          <w:b/>
        </w:rPr>
        <w:t>E. 9</w:t>
      </w:r>
    </w:p>
    <w:p>
      <w:r>
        <w:t>En définitive, l’appel doit être partiellement admis et le jugement entrepris modifié dans le sens des considérants qui précèdent. L’appelant obtient partiellement gain de cause. Il a dès lors droit à une indemnité réduite fondée sur l’art. 429 CPP, laquelle sera fixée, ax aequo et bono à 2'000 francs. Celle-ci sera laissée à la charge de l’Etat.</w:t>
      </w:r>
    </w:p>
    <w:p>
      <w:r>
        <w:t>- 29 - Aux débats d’appel, le conseil d’office de la plaignante a produit une liste de ses opérations, faisant état de 18 heures et 43 minutes consacrées au dossier, dont 14 heures et 48 minutes l’ont été par son avocate-stagiaire. La durée annoncée est excessive. Il sied de retrancher l’heure consacrée par l’avocate-stagiaire à la rédaction d’un courriel en date du 27 août 2024, le temps qu’elle a consacré à l’étude du jugement motivé et du dossier en vue de la rédaction de la déclaration d’appel (une heure et 36 minutes), ainsi que le temps dévolu à la préparation des débats d’appel, annoncé à hauteur de 4 heures et 30 minutes. Il y a également lieu de ramener à une heure la durée des débats d’appel. En définitive, c’est ainsi une indemnité totale de 1'676 fr. 45 qui sera allouée à Me Laurinda Konde pour la procédure d’appel, correspondant à 3 heures et 55 minutes d’activité d’avocat au tarif horaire de 180 fr., respectivement à 6 heures et 42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1'442 fr., à des débours forfaitaires à hauteur de 2 % des honoraires admis, soit 28 fr. 84, à une vacation à 80 fr. (art. 3bis al. 1 et al. 3 RAJ) et à un montant de 125 fr. 62 correspondant à la TVA au taux de 8,1 % sur le tout. Vu l’issue de la cause, les frais de la procédure d’appel, constitués de l’émolument de jugement, par 2'310 fr., et d’audience, par 400 fr. (art. 21 al. 1 et 2 TFIP), ainsi que de l’indemnité allouée au conseil juridique gratuit, par 1'676 fr. 45, soit au total 4'386 fr. 45, seront mis par un quart, soit par 1'096 fr. 60, à la charge de l’appelant, qui succombe partiellement (art. 428 al. 1 CPP). Le solde, par trois quarts, soit par 3'289 fr. 85, sera laissé à la charge de l’Etat. A cet égard, le chiffre VI du dispositif communiqué aux parties contient une erreur manifeste en ce sens qu’il prévoit la clause de remboursement s’agissant de l’indemnité due au conseil juridique gratuit de la plaignante, alors que l’appelant n’est pas au bénéfice de l’assistance judiciaire pour la procédure d’appel. En application de l’art. 83 CPP, le</w:t>
      </w:r>
    </w:p>
    <w:p>
      <w:r>
        <w:t>- 30 - dispositif sera dès lors rectifié d’office sur ce point et le chiffre susmentionné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