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PE22.019629 vom 16. Mai 2023</w:t>
      </w:r>
    </w:p>
    <w:p>
      <w:r>
        <w:t>VD Tribunal cantonal, 2023-05-16, FR</w:t>
      </w:r>
    </w:p>
    <w:p>
      <w:r>
        <w:rPr>
          <w:b/>
        </w:rPr>
        <w:t xml:space="preserve">Quelle: </w:t>
      </w:r>
      <w:r>
        <w:t>https://mcp.opencaselaw.ch/entscheid/vd_gerichte_PE22.019629</w:t>
      </w:r>
    </w:p>
    <w:p>
      <w:r>
        <w:t>FR: VD_GERICHTE PE22.019629 du 16 mai 2023</w:t>
      </w:r>
    </w:p>
    <w:p>
      <w:r>
        <w:t>IT: VD_GERICHTE PE22.019629 del 16 maggio 2023</w:t>
      </w:r>
    </w:p>
    <w:p>
      <w:pPr>
        <w:pStyle w:val="Heading2"/>
      </w:pPr>
      <w:r>
        <w:t>Erwägungen</w:t>
      </w:r>
    </w:p>
    <w:p>
      <w:r>
        <w:rPr>
          <w:b/>
        </w:rPr>
        <w:t>E. 1.1</w:t>
      </w:r>
    </w:p>
    <w:p>
      <w:r>
        <w:t>Les parties peuvent attaquer une ordonnance de non-entrée en matière rendue par le Ministère public (art. 310 CPP )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le recours a été interjeté en temps utile devant l’autorité compétente, par le plaignant, qui a la qualité pour recourir (art. 382 al. 1 CPP). Au surplus, bien que dépourvu de conclusions explicites, le recours satisfait aux conditions de forme prescrites (art. 385 al. 1 CPP). Il est donc recevable.</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(Grodecki/Cornu,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6B_1177/2022 du 21 février 2023 consid. 2.1 ;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w:t>
      </w:r>
    </w:p>
    <w:p>
      <w:r>
        <w:t>- 6 -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Selon l’art. 30 al. 1 CP, si une infraction n’est punie que sur plainte, toute personne lésée peut porter plainte contre l’auteur. Le droit de porter plainte se prescrit par trois mois. Le délai court du jour où l’ayant-droit a connu l’auteur de l’infraction (art. 31 CP). Le point de départ du délai est la connaissance de l’auteur et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(Dupuis/Moreillon/Piguet/Berger/Mazou/Rodigari [éd.],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En présence d’une pluralité d’infractions formant une unité, le Tribunal fédéral fixe le point de départ pour porter plainte par analogie avec la fixation du point de départ de la prescription au sens de l’art. 98</w:t>
      </w:r>
    </w:p>
    <w:p>
      <w:r>
        <w:t>- 7 - let. b CP (Dupuis et alii [éd.], op. cit., n. 8 ad. art. 31 CP). Ainsi, le délai de plainte ne commence à courir dans ce cas que dès la fin de l’activité délictueuse perpétrée en continu (ATF 141 IV 205 consid. 6.3 et 6.4, JdT 2016 IV 19). Si la plainte est déposée alors que l’activité délictueuse persiste encore, elle couvre aussi les actes postérieurs à son dépôt. Pour être valable, la plainte doit exposer de manière détaillée le déroulement des faits sur lesquels elle porte, pour que l'autorité pénale sache pour quel état de fait l'ayant-droit demande une poursuite pénale. Elle doit contenir un exposé détaillé des circonstances concrètes, sans qu'il ne soit nécessaire qu'elles soient absolument complètes (ATF 131 IV 97 consid. 3.3). En revanche, la qualification juridique des faits incombe aux autorités de poursuite (TF 6B_942/2017 du 5 mars 2018 consid. 1.1). La plainte pénale est une déclaration de volonté inconditionnelle par laquelle le lésé demande l’introduction d’une poursuite pénale (ATF 141 IV 380 consid. 2.3.4 ; ATF 128 IV 81 consid. 2a). Selon la jurisprudence du Tribunal fédéral et la doctrine majoritaire, il s’agit d’une condition à l’ouverture de l’action pénale pour les infractions qui ne se poursuivent que sur plainte (Riedo, in : Niggli/Wiprächtiger [éd.], Basler Kommentar, Strafrecht I, 4e éd., Bâle 2019, nn. 21 ad art. 30 CP et 108 ad art. 30 CP et les réf. citées). Il s’ensuit que si, lorsqu’aucune infraction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 Dupuis et alii [éd.], op. cit., n. 2 ad art. 30 CP et les réf. citées).</w:t>
      </w:r>
    </w:p>
    <w:p>
      <w:r>
        <w:rPr>
          <w:b/>
        </w:rPr>
        <w:t>E. 4</w:t>
      </w:r>
    </w:p>
    <w:p>
      <w:r>
        <w:t>La diffamation (art. 173 CP), comme la calomnie (174 CP) ou les menaces (art. 180 CP), sont des infractions poursuivies sur plainte.</w:t>
      </w:r>
    </w:p>
    <w:p>
      <w:r>
        <w:t>- 8 -</w:t>
      </w:r>
    </w:p>
    <w:p>
      <w:r>
        <w:rPr>
          <w:b/>
        </w:rPr>
        <w:t>E. 4.1.1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rPr>
          <w:b/>
        </w:rPr>
        <w:t>E. 4.1.2</w:t>
      </w:r>
    </w:p>
    <w:p>
      <w:r>
        <w:t>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4.1.3</w:t>
      </w:r>
    </w:p>
    <w:p>
      <w:r>
        <w:t>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 TF 6B_119/2017 du 12 décembre 2017 consid. 3.1). Ces deux dispositions protègent la réputation d'être un individu honorable, c'est-à-dire de se comporter comme une personne digne a coutume de le faire selon les conceptions généralement reçues. Il</w:t>
      </w:r>
    </w:p>
    <w:p>
      <w:r>
        <w:t>- 9 -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Dans le domaine des activités socio- 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 TF 6B_178/2020 du 20 mars 2020 consid. 4.1 ; TF 6B_1020/2018 du 1er juillet 2019 consid. 5.1.1 ; TF 6B_224/2016 du 3 janvier 2017 consid. 2.2 et les références citées).</w:t>
      </w:r>
    </w:p>
    <w:p>
      <w:r>
        <w:rPr>
          <w:b/>
        </w:rPr>
        <w:t>E. 4.2</w:t>
      </w:r>
    </w:p>
    <w:p>
      <w:r>
        <w:t>Selon l’art. 180 al. 1 CP, se rend coupable de l’infraction de menaces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 TF 6B_508/2021 du 14 janvier 2022 consid. 2.1), ni que l’auteur ait réellement la volonté de réaliser sa menace (ATF 122 IV 322 consid. 1a ; ATF 105 IV 120 consid. 2a, JdT 1980 IV 115 ; TF 6B_508/2021 précité). Toute menace ne tombe pas</w:t>
      </w:r>
    </w:p>
    <w:p>
      <w:r>
        <w:t>- 10 - sous le coup de l’art. 180 CP. La loi exige en effet que la menace soit grave (CREP 7 février 2023/92).</w:t>
      </w:r>
    </w:p>
    <w:p>
      <w:r>
        <w:rPr>
          <w:b/>
        </w:rPr>
        <w:t>E. 5.1</w:t>
      </w:r>
    </w:p>
    <w:p>
      <w:r>
        <w:t>En l’espèce, s’agissant tout d’abord des menaces, le recourant, dans sa plainte, fait état de propos menaçants à son endroit de la part de [...], lesquels auraient été proférés en mars ou en avril 2022. Durant son audition du 14 octobre 2022 (PV aud. 2, R. 8), [...] a confirmé n’avoir rencontré le recourant qu’à deux reprises environ, sept ou huit mois auparavant, ce qui situe ces rencontres au mois de février ou de mars 2022. C’est également en mars 2022 qu’[...] aurait déclaré au plaignant qu’ils allaient pouvoir s’occuper de lui. Aucune autre menace n’est alléguée. La plainte ayant été déposée le 17 septembre 2022, elle est manifestement tardive à cet égard.</w:t>
      </w:r>
    </w:p>
    <w:p>
      <w:r>
        <w:rPr>
          <w:b/>
        </w:rPr>
        <w:t>E. 5.2</w:t>
      </w:r>
    </w:p>
    <w:p>
      <w:r>
        <w:t>S’agissant ensuite de la diffamation, le recourant soutient qu’il aurait été exclu du CCKL, mais sans que cela soit documenté. Il n’expose pas non plus les raisons de cette exclusion, ni la manière par laquelle elle lui aurait été communiquée. La plainte est dès lors irrecevable à cet égard.</w:t>
      </w:r>
    </w:p>
    <w:p>
      <w:r>
        <w:rPr>
          <w:b/>
        </w:rPr>
        <w:t>E. 5.3</w:t>
      </w:r>
    </w:p>
    <w:p>
      <w:r>
        <w:t>Concernant l’intervention auprès de la fiancée/épouse du recourant, on ne sait pas davantage quand elle aurait eu lieu. Pour autant, il s’agit des seuls propos dénoncés qui sont explicitement rapportés. Ces assertions pourraient comprendre les éléments constitutifs d’une diffamation, puisque le plaignant aurait été accusé de fomenter un attentat. Elles ne concerneraient qu’[...], le surnommé « [...] » et un tiers non identifié ou identifiable à ce jour. Toutefois, ni les circonstances, ni le moment où ces propos aurait été proférés ne sont exposés. Il s’agit toutefois d’éléments qu’une investigation pourraient clarifier, ne serait-ce que par l’interrogatoire de la fiancée/épouse du recourant. Cela permettrait de situer l’événement dans le temps – et ainsi de vérifier la validité de la plainte –, ainsi que d’identifier le tiers concerné et la véracité des propos dénoncés. En relation avec les informations trouvées par la police au sujet du recourant, le fait que [...] ait expressément confirmé, lors de son audition, qu’il pensait que le plaignant était un agent de l’Etat</w:t>
      </w:r>
    </w:p>
    <w:p>
      <w:r>
        <w:t>- 11 - turc apporte suffisamment de doute pour qu’une enquête soit ouverte au sujet des faits mentionnés ci-dessus.</w:t>
      </w:r>
    </w:p>
    <w:p>
      <w:r>
        <w:rPr>
          <w:b/>
        </w:rPr>
        <w:t>E. 5.4</w:t>
      </w:r>
    </w:p>
    <w:p>
      <w:r>
        <w:t>Pour le surplus, s’agissant de la propagation de propos prétendument diffamatoires par les personnes désignées sous les alias de « [...] », « [...] » et « [...] », à l’exception, pour ce dernier, des propos mentionnés au considérant ci-dessus, il ne s’agit en définitive que d’allégations qui ne sont pas étayées et qui se limitent à être relatées sans aucune indication. La plainte est dès lors irrecevable à cet égard également.</w:t>
      </w:r>
    </w:p>
    <w:p>
      <w:r>
        <w:rPr>
          <w:b/>
        </w:rPr>
        <w:t>E. 5.5</w:t>
      </w:r>
    </w:p>
    <w:p>
      <w:r>
        <w:t>Dans son mémoire de recours, le recourant soulève un moyen quant à la motivation de l’ordonnance au sujet de la tardiveté du dépôt de sa plainte. A cet égard, il apporte la précision que ses problèmes en relation avec le complexe de faits dénoncé ont débuté en septembre 2019 mais que les événements pour lesquels il porte plainte se seraient déroulés au mois d’août 2022. Comme déjà relevé, le procès-verbal d’audition-plainte du 17 septembre 2022 mentionne ce qui suit, sous la rubrique « Date et heure de l’infraction » : « dès mars 2022, de manière sporadique puis régulière depuis août (2022, réd.) » (PV aud. 1, précité). Dès lors, comme déjà relevé, les faits éventuels survenus en août 2022 ne peuvent pas concerner les menaces dénoncées qui, selon la plainte, ne se seraient déroulées qu’au mois de mars 2022, au plus tard en avril 2022. Il ne peut donc s’agir que de faits dont on ne peut pas même dire qu’ils ont été continus, vu le caractère sporadique des premiers d’entre eux et l’absence de tout élément précis à cet égard. Si d’éventuels propos diffamatoires devaient avoir été proférés en août 2022 et plus tard, force est de constater que l’on ne sait pas quels sont les propos tenus, ni exactement par qui, à l’exception des propos proférés par [...], le surnommé « [...] » et le tiers non identifié à la fiancée/épouse du recourant, dont il est question ci-dessus. La plainte est dès lors irrecevable à cet égard encore.</w:t>
      </w:r>
    </w:p>
    <w:p>
      <w:r>
        <w:t>- 12 -</w:t>
      </w:r>
    </w:p>
    <w:p>
      <w:r>
        <w:rPr>
          <w:b/>
        </w:rPr>
        <w:t>E. 5.6</w:t>
      </w:r>
    </w:p>
    <w:p>
      <w:r>
        <w:t>En définitive, c’est à bon droit que le Ministère public a considéré que la plainte était tardive pour les menaces et que la plainte pour diffamation était trop imprécise pour être prise en compte, respectivement qu’elle ne relevait que de simples soupçons (consid. 5.1, 5.2, 5.4 et 5.5 ci-dessus). C’est en revanche à tort que le Procureur en a fait de même pour ce qui est des propos tenus devant la fiancée/épouse du recourant, qui justifient quant à eux l’ouverture formelle d’une enquête pénale (consid. 5.3 ci-dessus).</w:t>
      </w:r>
    </w:p>
    <w:p>
      <w:r>
        <w:rPr>
          <w:b/>
        </w:rPr>
        <w:t>E. 6</w:t>
      </w:r>
    </w:p>
    <w:p>
      <w:r>
        <w:t>En définitive, le recours doit être admis partiellement et l’ordonnance de non-entrée en matière attaquée annulée en tant qu’elle porte sur les propos tenus auprès de la fiancée/épouse du recourant. Le dossier de la cause sera renvoyé au Ministère public de l’arrondissement de Lausanne pour qu’il procède dans le sens des considérants (art. 397 al. 2 CPP), soit exclusivement en relation avec les faits faisant l’objet du considérant 5.3 ci-dessus. Vu le sort du recours, les frais d’arrêt, constitués du seul émolument d’arrêt (cf. art. 422 al. 1 CPP), par 1’210 fr. (cf. art. 20 al. 1 TFIP [tarif des frais de procédure et indemnités en matière pénale du 28 septembre 2010 ; BLV 312.03.1]), seront mis à raison des trois quarts à la charge du recourant, qui succombe dans une large mesure (art. 428 al. 1, 1re phrase, CPP) et laissés à la charge de l’Etat pour le surplus. Les frais mis à la charge du recourant seront partiellement compensés avec le montant des sûretés de 550 fr. déjà versé, le solde restant à sa charge s’élevant à 357 fr. 50. Par ces motifs, la Chambre des recours pénale prononce : I. Le recours est admis partiellement.</w:t>
      </w:r>
    </w:p>
    <w:p>
      <w:r>
        <w:t>- 13 - II. L’ordonnance du 12 décembre 2022 est annulée en tant qu’elle porte sur les propos tenus auprès de la fiancée/épouse du recourant. Elle est confirmée pour le surplus. III. Le dossier de la cause est renvoyé au Ministère public de l’arrondissement de Lausanne pour qu’il procède dans le sens des considérants. IV. Les frais d’arrêt, par 1’210 fr. (mille deux cent dix francs), sont mis à raison des trois quarts, soit de 907 fr. 50 (neuf cent sept francs et cinquante centimes), à la charge d’U.________ et sont laissés à la charge de l’Etat pour le surplus. V. L’avance de frais de 550 fr. (cinq cent cinquante francs) versée par le recourant à titre de sûretés est imputée sur les frais mis à sa charge au chiffre IV ci-dessus, le solde dû s’élevant à 357 fr. 50 (trois cent cinquante-sept francs et cinquante centimes). VI. L’arrêt est exécutoire. La présidente : Le greffier : Du Le présent arrêt, dont la rédaction a été approuvée à huis clos, est notifié, par l'envoi d'une copie complète, à : - M. U.________, - Ministère public central, et communiqué à : - M. le Procureur du Ministère public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