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PE22.018967 vom 10. März 2023</w:t>
      </w:r>
    </w:p>
    <w:p>
      <w:r>
        <w:t>VD Tribunal cantonal, 2023-03-10, FR</w:t>
      </w:r>
    </w:p>
    <w:p>
      <w:r>
        <w:rPr>
          <w:b/>
        </w:rPr>
        <w:t xml:space="preserve">Quelle: </w:t>
      </w:r>
      <w:r>
        <w:t>https://mcp.opencaselaw.ch/entscheid/vd_gerichte_PE22.018967</w:t>
      </w:r>
    </w:p>
    <w:p>
      <w:r>
        <w:t>FR: VD_GERICHTE PE22.018967 du 10 mars 2023</w:t>
      </w:r>
    </w:p>
    <w:p>
      <w:r>
        <w:t>IT: VD_GERICHTE PE22.018967 del 10 marzo 2023</w:t>
      </w:r>
    </w:p>
    <w:p>
      <w:pPr>
        <w:pStyle w:val="Heading2"/>
      </w:pPr>
      <w:r>
        <w:t>Erwägungen</w:t>
      </w:r>
    </w:p>
    <w:p>
      <w:r>
        <w:rPr>
          <w:b/>
        </w:rPr>
        <w:t>E. 1</w:t>
      </w:r>
    </w:p>
    <w:p>
      <w:r>
        <w:t>La prévenue D.________, née en 1952, est domiciliée à [...]. Elle est célibataire, sans enfants et n’a personne à charge. Retraitée, la prévenue perçoit mensuellement une rente AVS de 2'450 fr., ainsi qu’une rente du deuxième pilier de 4'200 francs. Selon ses dires, le loyer de son appartement à [...] s’élève à 600 fr. par mois. En outre, elle est propriétaire d’un immeuble à Sainte-Croix, dont il sera fait état ci-dessous et pour lequel elle a indiqué avoir des dépenses mensuelles de l’ordre de 1'500 fr. à 2'000 francs. Outre les autres charges courantes, qu’elle n’a pas été en mesure d’estimer, la prévenue a déclaré que son assurance-maladie lui coûtait environ 500 fr. par mois. Le casier judiciaire suisse de la prévenue ne comporte aucune inscription.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t>- 6 -</w:t>
      </w:r>
    </w:p>
    <w:p>
      <w:r>
        <w:rPr>
          <w:b/>
        </w:rPr>
        <w:t>E. 2</w:t>
      </w:r>
    </w:p>
    <w:p>
      <w:r>
        <w:t>La parcelle dont la prévenue est propriétaire à Sainte-Croix a fait l’objet d’un permis de construire délivré le 17 juillet 2017 par la Municipalité de cette commune à l’issue d’une mise à l’enquête (réf. CAMAC N° [...]). Portant sur l’édification d’un « centre de rencontres », ce permis prévoyait, au nombre de diverses « conditions impératives », des mesures destinées à parer le risque d’incendie. Le permis de construire est entré en force. Le bâtiment a été édifié, sans toutefois qu’il ne soit satisfait aux exigences portant sur la prévention du risque incendie. L’autorité a dès lors refusé le permis d’habiter et, partant, d’exploiter le « centre de rencontres ». Utilisant la formule « mise à l’enquête complémentaire », la propriétaire a alors déposé une nouvelle demande d’autorisation de construire, portant sur des modifications des ouvertures en façades, de la passerelle d’accès et du concept de protection-incendie (réf. CAMAC N° [...]). Par décision du 6 juillet 2021, la Municipalité a refusé</w:t>
      </w:r>
    </w:p>
    <w:p>
      <w:r>
        <w:t>- 4 - la délivrance d’un permis de construire et ordonné que les ouvertures en façades, de la passerelle d’accès et du concept de protection-incendie soient réalisés tels qu’ils avaient été autorisés à l’issue de l’enquête principale portant sur les travaux initiaux. Par arrêt du 3 février 2022 (AC.2021.0291), la Cour de droit administratif et public du Tribunal cantonal a, notamment, rejeté dans la mesure où il était recevable le recours interjeté par D.________ contre cette décision (I) et confirmé celle-ci, au sens des considérants (II). Par courrier du 22 mars 2022, la Municipalité de Sainte-Croix, se référant à l’arrêt précité de la Cour de droit administratif et public, devenu définitif et exécutoire depuis lors, a demandé à D.________ de compléter son dossier avec l’aide d’un spécialiste en protection incendie, de manière à tenir compte des exigences de l’Etablissement d’assurance contre l’incendie et les éléments naturels du canton de Vaud (ci-après ECA), si elle entendait utiliser le « centre de rencontres ». C’est ainsi qu’un délai au 31 mai 2022 lui a été imparti pour fournir un « nouveau concept de protection incendie validé par l’ECA ». Aucune suite n’ayant été donnée à ce courrier, la propriétaire a derechef été interpellée par courrier du 6 juillet 2022, lui impartissant un délai au 31 août 2022 pour produire un véritable concept de protection incendie. La Municipalité l’informait par ailleurs qu’à défaut de transmission du document requis, une dénonciation serait adressée au Ministère public, pour insoumission à une décision de l’autorité. Ce nonobstant, l’intéressée n’a pas donné suite à cette injonction. Le 12 octobre 2022, la Municipalité de Sainte-Croix a dénoncé D.________ au Ministère public.</w:t>
      </w:r>
    </w:p>
    <w:p>
      <w:r>
        <w:rPr>
          <w:b/>
        </w:rPr>
        <w:t>E. 3</w:t>
      </w:r>
    </w:p>
    <w:p>
      <w:r>
        <w:t>Dans sa déclaration d’appel motivée et dans ses écritures complémentaires, l’appelante ne remet pas fondamentalement en cause le raisonnement tenu par l’autorité de première instance. En particulier, elle ne conteste pas la validité de la décision rendue par la Municipalité de Sainte-Croix, ni la menace de sanction pénale que celle-ci comportait pour insoumission à une décision de l’autorité au sens de l’art. 292 CP en cas d’inexécution. L’appelante fait en revanche valoir que l’ECA ne se conformerait pas à l’arrêt rendu par la Cour de droit administratif et public le 3 février 2022 et que cet établissement refuserait sans raison valable les concepts de protection contre l’incendie qu’elle lui présente. L’appelante soutient également que l’autorité de première instance aurait négligé le considérant le plus important de l’arrêt en cause, aux termes duquel l’affectation de la maison serait à redéfinir à mi-chemin entre hébergement et habitation. Sans revenir sur les éléments constitutifs objectifs de l’art. 292 CP, elle conteste en revanche avoir intentionnellement refusé de se plier aux exigences de la Municipalité. A cet égard, elle explique avoir essayé durant deux ans « de trouver l’organisme responsable pour revoir l’affectation de la maison », sans que la Municipalité ou l’ECA ne se sentent concernés. Non sans une certaine ironie, l’appelante relève que le fait de punir son comportement fautif n’aura pas pour effet de produire un concept de sécurité à même d’être validé par l’ECA. Enfin, l’appelante demande que l’autorité de céans fasse respecter l’arrêt rendu par la CDAP et les directives de l’AEAI (Association des établissements cantonaux d'assurance incendie, réd.).</w:t>
      </w:r>
    </w:p>
    <w:p>
      <w:r>
        <w:rPr>
          <w:b/>
        </w:rPr>
        <w:t>E. 4</w:t>
      </w:r>
    </w:p>
    <w:p>
      <w:r>
        <w:t>Aux termes de l'art. 292 CP, celui qui ne se sera pas conformé à une décision à lui signifiée, sous la menace de la peine prévue audit article, par une autorité ou un fonctionnaire compétents sera puni d'une amende. Cette infraction suppose que le comportement ordonné par l'autorité soit décrit avec suffisamment de précision pour que le destinataire sache clairement ce qu'il doit faire ou ce dont il doit</w:t>
      </w:r>
    </w:p>
    <w:p>
      <w:r>
        <w:t>- 7 - s'abstenir, et partant quel comportement ou omission est susceptible d'entraîner une sanction pénale (ATF 147 IV 145 consid. 2.1 ; ATF 127 IV 119 consid. 2a p. 121 ; ATF 124 IV 297 consid. II.4.d p. 311 ; TF 6B_306/2014 du 29 janvier 2015 consid. 2.3). Cette exigence de précision est une conséquence du principe « nullum crimen sine lege »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(TF 6S.124/2004 du 10 novembre 2004 consid. 2, non publié in ATF 131 IV 32 ; ATF 105 IV 248 consid. 1 ; voir également ATF 131 IV 132 consid. 3 ; ATF 124 IV 297 consid. 4e). Pour que l'infraction soit réalisée, il faut que l'insoumission soit intentionnelle. L'intention suppose la connaissance de l'injonction, de sa validité et des conséquences pénales de l'insoumission. Le dol éventuel suffit (ATF 147 IV 145 consid. 2.1 ; ATF 119 IV 238 consid. 2a p. 240 ; TF 6B_1073/2018 du 23 août 2019 consid. 7.1 ; TF 6B_547/2012 du 26 mars 2013 consid. 2.5.1 ; TF 6B_280/2010 du 20 mai 2010 consid. 3.1).</w:t>
      </w:r>
    </w:p>
    <w:p>
      <w:r>
        <w:rPr>
          <w:b/>
        </w:rPr>
        <w:t>E. 5</w:t>
      </w:r>
    </w:p>
    <w:p>
      <w:r>
        <w:t>L’appelante renverse les responsabilités. Contrairement à ce qu’elle semble espérer, il n’appartient pas à l’autorité de céans de faire respecter l’arrêt rendu par la Cour de droit administratif et public ou de faire appliquer les prescriptions de protection incendie émises par l’AEAI. En effet, c’est à la propriétaire de l’immeuble qu’il incombe de se conformer à la législation en vigueur et aux décisions administratives définitives et exécutoires. Quant au passage de l’arrêt de la Cour de droit administratif et public auquel se réfère l’appelante, l’argumentation qu’elle présente démontre surtout qu’elle persiste à vouloir revoir l’affectation de son bâtiment plutôt qu’à faire en sorte que la construction telle qu’elle a été réalisée respecte les normes incendie.</w:t>
      </w:r>
    </w:p>
    <w:p>
      <w:r>
        <w:t>- 8 - Quoi qu’il en soit, l’appelante ne démontre pas que l’autorité de première instance aurait apprécié arbitrairement les faits retenus à son encontre. Les injonctions qui lui ont été signifiées par la Municipalité sont claires. Du reste, l’appelante admet les avoir comprises. La problématique se situe en réalité en ce que l’appelante n’entend pas réaliser les travaux de sécurité incendie qui sont exigés d’elle. Elle persiste ainsi à vouloir présenter ses propres concepts de sécurité, tous successivement rejetés, alors même qu’elle sait pertinemment ce qui est attendu d’elle à cet égard, comme cela ressort de ses nombreux échanges à ce sujet avec les autorités et l’ECA, figurant au dossier. En l’occurrence, en se limitant à présenter ses propres concepts de sécurité incendie, l’appelante s’est délibérément mise dans la situation de ne pas obtenir la validation de l’ECA et de prendre le risque de ne pas respecter l’injonction qui lui a été signifiée. Ce n’est pourtant pas le temps qui lui a manqué de faire exécuter les travaux exigés ou de recourir à l’aide d’un spécialiste en matière d’incendie pour faire valider auprès de l’ECA un concept de son cru, puisque ce n’est que le 12 octobre 2022 que la Municipalité l’a dénoncée alors qu’elle lui avait fixé initialement un délai au 31 mai 2022. Force est ainsi de constater que l’appelante s’est mise toute seule dans la situation où elle se trouve aujourd’hui. Elle avait connaissance de l’injonction, de sa validité et des conséquences pénales de son insoumission. Elle a agi en toute connaissance de cause et, en particulier, des risques auxquels elle s’exposait. Ce faisant, elle a agi avec conscience et volonté. Partant, la condition subjective de l’intention visée par l’art. 292 CP est réalisée. Pour le reste, la décision de la Municipalité du 6 juillet 2022 remplit tous les réquisits permettant l’application de l’art. 292 CP, l’article de loi étant cité dans son intégralité avec son intitulé et la peine encourue en cas de violation. Il y a donc lieu de constater que l’injonction a été formulée valablement et que l’appelante ne s’y est pas conformée. Les éléments constitutifs, objectifs et subjectifs, de l’infraction réprimée par l’art. 292 CP sont ainsi réalisés.</w:t>
      </w:r>
    </w:p>
    <w:p>
      <w:r>
        <w:t>- 9 -</w:t>
      </w:r>
    </w:p>
    <w:p>
      <w:r>
        <w:rPr>
          <w:b/>
        </w:rPr>
        <w:t>E. 6.1</w:t>
      </w:r>
    </w:p>
    <w:p>
      <w:r>
        <w:t>L’appelante ne conteste pas la peine en tant que telle. La quotité de la sanction doit toutefois être vérifiée d’office.</w:t>
      </w:r>
    </w:p>
    <w:p>
      <w:r>
        <w:rPr>
          <w:b/>
        </w:rPr>
        <w:t>E. 6.2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106 CP, Sauf disposition contraire de la loi, le montant maximum de l’amende est de 10’000 fr. (al. 1). Le juge fixe l’amende et la peine privative de liberté de substitution en tenant compte de la situation de l’auteur afin que la peine corresponde à la faute commise (al. 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6.3</w:t>
      </w:r>
    </w:p>
    <w:p>
      <w:r>
        <w:t>Clémente, la peine est adéquate compte tenu de la culpabilité de l’appelante. En effet, l’intégration sociale de l’auteur apparaît bonne et</w:t>
      </w:r>
    </w:p>
    <w:p>
      <w:r>
        <w:t>- 10 - l’appelante a par ailleurs le mérite d’ « assume[r] [s]a responsabilité pour la sécurité de cette maison » (cf. P. 10, p. 1 in fine). L’absence d’antécédent est au surplus un facteur neutre sous l’angle de l’art. 47 CP (ATF 136 IV 1). Pour le reste, le montant de l’amende tient compte de manière adéquate de la situation personnelle et financière de l’appelante, celle-ci étant par ailleurs locataire et dépourvue de charges familiales.</w:t>
      </w:r>
    </w:p>
    <w:p>
      <w:r>
        <w:rPr>
          <w:b/>
        </w:rPr>
        <w:t>E. 7</w:t>
      </w:r>
    </w:p>
    <w:p>
      <w:r>
        <w:t>Succombant à l’action pénale, l’appelante doit être tenue aux frais de première instance (art. 426 al. 1, 1re phrase, CPP). Elle n’en conteste au surplus pas la quotité en tant que telle.</w:t>
      </w:r>
    </w:p>
    <w:p>
      <w:r>
        <w:rPr>
          <w:b/>
        </w:rPr>
        <w:t>E. 8</w:t>
      </w:r>
    </w:p>
    <w:p>
      <w:r>
        <w:t>L’appel doit dès lors être rejeté.</w:t>
      </w:r>
    </w:p>
    <w:p>
      <w:r>
        <w:rPr>
          <w:b/>
        </w:rPr>
        <w:t>E. 9</w:t>
      </w:r>
    </w:p>
    <w:p>
      <w:r>
        <w:t>Vu l’issue de l’appel, l’émolument d’appel, par 810 fr. (art. 21 al. 1 et 2 TFIP [tarif des frais de procédure et indemnités en matière pénale du 28 septembre 2010 ; RSV 312.03.1]), sera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