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PE22.018771 vom 23. August 2024</w:t>
      </w:r>
    </w:p>
    <w:p>
      <w:r>
        <w:t>VD Tribunal cantonal, 2024-08-23, FR</w:t>
      </w:r>
    </w:p>
    <w:p>
      <w:r>
        <w:rPr>
          <w:b/>
        </w:rPr>
        <w:t xml:space="preserve">Quelle: </w:t>
      </w:r>
      <w:r>
        <w:t>https://mcp.opencaselaw.ch/entscheid/vd_gerichte_PE22.018771</w:t>
      </w:r>
    </w:p>
    <w:p>
      <w:r>
        <w:t>FR: VD_GERICHTE PE22.018771 du 23 août 2024</w:t>
      </w:r>
    </w:p>
    <w:p>
      <w:r>
        <w:t>IT: VD_GERICHTE PE22.018771 del 23 agosto 2024</w:t>
      </w:r>
    </w:p>
    <w:p>
      <w:pPr>
        <w:pStyle w:val="Heading2"/>
      </w:pPr>
      <w:r>
        <w:t>Erwägungen</w:t>
      </w:r>
    </w:p>
    <w:p>
      <w:r>
        <w:rPr>
          <w:b/>
        </w:rPr>
        <w:t>E. 10</w:t>
      </w:r>
    </w:p>
    <w:p>
      <w:r>
        <w:t>juin 2022 (cf. P. 46/1), les différents rapports du Centre Leenaards de la Mémoire du CHUV que l’intimé produits datent des 3 avril et 31 juillet 2023 (cf. P. 46/6 ; P. 46/7 ; P. 46/8), soit postérieurement aux faits. Par ailleurs, on relèvera que l’intimé gardait en mémoire au moment des faits les problématiques qu’il devait résoudre puisqu’il se souvenait qu’il devait chercher un câble de chargeur pour le vélo électrique de son frère, que ses messages téléphoniques témoignent de ses pleines capacités d’organisation et qu’aucun de ses collègues n’a rapporté la moindre difficulté dans leurs rapports de travail avec lui. 4.3.2.3 Au vu de ce qui précède, la Cour d’appel pénale est convaincue que l’intimé savait que le vélo litigieux faisait l’objet d’une procédure pénale mais que, comme cela faisait un certain temps qu’il se trouvait dans le local, il a compté sur le fait que personne ne s’en préoccuperait. En outre, il ne pouvait ignorer sa valeur au vu de son bon état. Il a donc délibérément enlevé le JEP qui était pris dans la pince du porte-bagage – il est en effet impossible, comme le soutient la première juge, qu’il ait pu tomber étant donné la manière dont il était coincé – et se l’est approprié – pour lui ou pour un tiers, peu importe. Les explications de l’intimé, selon lesquelles il trouvait « joli » de recouvrir le cadre du vélo d’une bande autocollante, imitation fibre de carbone, comme la carrosserie de sa moto, ne sont pas crédibles et démontrent plutôt sa volonté de dissimuler l’origine et la marque du cycle. Enfin, l’intimé reconnait qu’il n’était pas convaincu de pouvoir prendre le vélo en question de peur que [...] H.________ lui demande de le restituer (cf. jgmt, p.11), ce qui laisse comprendre qu’il a agi à tout le moins par dol éventuel.</w:t>
      </w:r>
    </w:p>
    <w:p>
      <w:r>
        <w:t>- 27 - L’élément subjectif de l’infraction de vol est ainsi pleinement réalisé et X.________ doit être reconnu coupable de cette infraction. Les appels du Ministère public et de Y.________ doivent donc être admis sur ce point. 5. 5.1 Le Ministère public et la partie plaignante estiment qu’une peine pécuniaire de 90 jours-amende, à 30 fr. le jour, avec sursis pendant deux ans, constituerait une sanction adéquate. Il appartient à l’autorité de céans de l’apprécier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141 IV 61 consid. 6 ; TF 6B_55/2025 du 2 avril 2025 consid. 3.1). Le juge dispose d’un large pouvoir d’appréciation. Celui-ci ne viole le droit fédéral en fixant la peine</w:t>
      </w:r>
    </w:p>
    <w:p>
      <w:r>
        <w:t>- 28 -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149 IV 217 consid. 1.1 ; ATF 144 IV 313 consid. 1.2 ; TF 6B_55/2025 précité). 5.2.2 5.2.2.1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 5.2.2.2 Le juge peut prononcer, en plus d’une peine avec sursis, une amende conformément à l’art. 106 CP (art. 42 al. 4 CP).</w:t>
      </w:r>
    </w:p>
    <w:p>
      <w:r>
        <w:t>- 29 -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ATF 134 IV 60 consid. 7.3.1 ; TF 6B_1267/2023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 ATF 135 IV 188 consid. 3.4.4). Des exceptions sont possibles en cas de peines de faible importance pour éviter que la peine cumulée n'ait qu'une portée symbolique (ATF 135 IV 188 consid. 3.4.4 ; TF 6B_1267/2023 précité consid. 1.1.1 et les références citées). 5.3 En l’espèce, la culpabilité de X.________ est lourde. A charge, on retiendra sa profession de policier et le fait qu’il a agi durant ses heures de service, un soir où tous ses collègues étaient en intervention et qu’il patrouillait seul, qu’il a utilisé un véhicule de fonction, sans l’autorisation de ses supérieurs, et qu’il a pris possession d’un vélo faisant l’objet d’une procédure pénale pendante. Bien que l’envie de l’intimé d’éviter un potentiel énième gaspillage puisse être compréhensible en raison de ce</w:t>
      </w:r>
    </w:p>
    <w:p>
      <w:r>
        <w:t>- 30 - que le vélo en question n’avait toujours pas retrouvé son propriétaire, sa manière de procéder démontre qu’il a fait passer son intérêt personnel avant toute autre considération, notamment le respect de la propriété et du droit. A décharge, on retiendra que, malgré une longue carrière au sein de la sécurité et de la police, l’intimé ne semble pas avoir fait l’objet d’enquête disciplinaire et de reproches significatifs de la part de sa hiérarchie (cf. notamment P. 46/12), l’absence d’antécédents à son casier judiciaire étant un élément neutre. Ainsi, c’est une peine pécuniaire de 90 jours-amende, à 30 fr. le jour au vu de sa situation financière, telle que proposée par le Parquet, qui sera prononcée. En l’absence de pronostic défavorable, cette sanction sera assortie d’un sursis de deux ans. Il sera renoncé au prononcé d’une amende à titre de sanction immédiate dès lors que le licenciement de l’intimé par la partie plaignante en juillet 2023 l’a conduit au chômage et qu’il souffre d’une maladie dégénérative grave pour laquelle une procédure AI est en cours. 6. 6.1 Y.________ conclut à ce que l’intimé soit reconnu débiteur d’un montant de 3'579 fr., correspondant à la valeur à neuf du vélo litigieux, ainsi que d’un montant de 36 fr. 40, correspondant au remboursement des kilomètres effectués avec le véhicule de service le 15 juin 2022 (52 km x 0.70 fr. le km), le tout avec intérêt à 5% l’an dès le 27 juin 2022. 6.2 Conformément à l'art. 126 al. 1 let. a CPP, le tribunal statue sur les conclusions civiles présentées lorsqu'il rend un verdict de culpabilité à l'encontre du prévenu. Selon l'art. 126 al. 2 let. b CPP, le juge renvoie la partie plaignante à agir par la voie civile lorsque la partie plaignante n'a pas chiffré ses conclusions de manière suffisamment précise ou ne les a pas suffisamment motivées. 6.3 En l’occurrence, la partie plaignante n’a pas motivé la raison qui justifierait de lui verser la valeur à neuf d’un vélo qui ne l’était plus et dont elle ne peut se prévaloir de la propriété. Partant, elle sera renvoyée à agir par la voie civile.</w:t>
      </w:r>
    </w:p>
    <w:p>
      <w:r>
        <w:t>- 31 - Quant au remboursement des kilomètres, la conclusion est irrecevable, faute d’avoir été formulée en première instance (cf. art. 123 al. 2 et 331 al. 2 CPP). 7. Dans la mesure où l’intimé est condamné, l’intégralité des frais de première instance, arrêtés à 12'456 fr. 80, doit être mise à sa charge, conformément à l’art. 426 al. 1 CPP. Ceux-ci comprennent l’indemnité due à son défenseur d’office, Me Loïc Parein, par 2'729 fr. 80. Dite indemnité devra être remboursée à l’Etat de Vaud dès que sa situation financière le permettra (art. 135 al. 4 CPP). En outre, aucune indemnité sous la forme de l’art. 429 CPP ne lui sera allouée. 8. En conclusion, les appels du Ministère public et de Y.________ doivent être partiellement admis, il doit être pris acte du retrait de l’appel joint formé par Y.________ et le jugement entrepris doit être réformé dans le sens des considérants qui précède. Me Loïc Parein a produit une liste d’opérations faisant état de 6h21 d’activité d’avocat – hors audience d’appel d’une durée de deux heures et cinq minutes – dont il n’y a pas lieu de s’écarter. Son indemnité sera donc fixée à 1'518 fr., le tarif horaire étant de 180 fr.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30 fr. 36, une vacation par 120 fr. et la TVA au taux de 8,1 % sur le tout, par 135 fr. 13. L’indemnité s’élève ainsi au total à 1'803 fr. 49. Quant à l’allocation d’une indemnité au sens de l’art. 433 CPP, requise par Y.________, il ne sera pas entré en matière sur celle-ci dès lors que la partie plaignante n’a ni chiffré, ni justifié ses prétentions. Vu l’issue de la cause, les frais d’appel, constitués des émoluments de jugement et d’audience, par 2’680 fr. (18 pages de</w:t>
      </w:r>
    </w:p>
    <w:p>
      <w:r>
        <w:t>- 32 - jugement et 700 fr. d’audience ; art. 21 al. 1 et 2 TFIP), et de l’indemnité allouée au défenseur d’office, par 1'803 fr. 49, soit au total 4'483 fr. 49, seront mis à la charge de l’intimé, qui succombe (cf. art. 428 al. 1 CPP). L’intimé sera tenu de rembourser à l’Etat de Vaud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