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PE22.018749 vom 3. April 2025</w:t>
      </w:r>
    </w:p>
    <w:p>
      <w:r>
        <w:t>VD Tribunal cantonal, 2025-04-03, FR</w:t>
      </w:r>
    </w:p>
    <w:p>
      <w:r>
        <w:rPr>
          <w:b/>
        </w:rPr>
        <w:t xml:space="preserve">Quelle: </w:t>
      </w:r>
      <w:r>
        <w:t>https://mcp.opencaselaw.ch/entscheid/vd_gerichte_PE22.018749</w:t>
      </w:r>
    </w:p>
    <w:p>
      <w:r>
        <w:t>FR: VD_GERICHTE PE22.018749 du 3 avril 2025</w:t>
      </w:r>
    </w:p>
    <w:p>
      <w:r>
        <w:t>IT: VD_GERICHTE PE22.018749 del 3 aprile 2025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l’appel de J.________ doit être partiellement admis et le jugement modifié dans le sens des considérants qui précèdent.</w:t>
      </w:r>
    </w:p>
    <w:p>
      <w:r>
        <w:t>- 15 - Vu l’issue de la cause, les frais de la procédure d’appel, constitués des émoluments de jugement et d’audience, par 1’390 fr. (art. 21 al. 1 et 2 TFIP [tarif des frais de procédure et indemnités en matière pénale du 28 septembre 2010 ; BLV 312.03.1]), seront mis par une moitié, soit par 695 fr., à la charge de J.________, le solde étant laissé à la charge de l’Etat.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