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PE22.018492 vom 28. Juni 2024</w:t>
      </w:r>
    </w:p>
    <w:p>
      <w:r>
        <w:t>VD Tribunal cantonal, 2024-06-28, FR</w:t>
      </w:r>
    </w:p>
    <w:p>
      <w:r>
        <w:rPr>
          <w:b/>
        </w:rPr>
        <w:t xml:space="preserve">Quelle: </w:t>
      </w:r>
      <w:r>
        <w:t>https://mcp.opencaselaw.ch/entscheid/vd_gerichte_PE22.018492</w:t>
      </w:r>
    </w:p>
    <w:p>
      <w:r>
        <w:t>FR: VD_GERICHTE PE22.018492 du 28 juin 2024</w:t>
      </w:r>
    </w:p>
    <w:p>
      <w:r>
        <w:t>IT: VD_GERICHTE PE22.018492 del 28 giugno 2024</w:t>
      </w:r>
    </w:p>
    <w:p>
      <w:pPr>
        <w:pStyle w:val="Heading2"/>
      </w:pPr>
      <w:r>
        <w:t>Erwägungen</w:t>
      </w:r>
    </w:p>
    <w:p>
      <w:r>
        <w:rPr>
          <w:b/>
        </w:rPr>
        <w:t>E. 5</w:t>
      </w:r>
    </w:p>
    <w:p>
      <w:r>
        <w:t>février 2019 consid. 1.1 et les références citées). L'acte d'accusation définit l'objet du procès et sert également à informer le prévenu (fonction</w:t>
      </w:r>
    </w:p>
    <w:p>
      <w:r>
        <w:t>- 9 - de délimitation et d'information) (ATF 144 I 234 consid. 5.6.1 ; ATF 143 IV 63 consid. 2.2 ; ATF 141 IV 132 consid. 3.4.1 et les références citées). 2.2.3 A certaines conditions, les art. 329 et 333 CPP dérogent à la maxime accusatoire en permettant au tribunal saisi de donner au ministère public la possibilité de modifier ou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(TF 6B_690/2014 du 12 juin 2015 consid. 4.2 et les références citées). Cette entorse à la maxime accusatoire ne doit pas devenir la règle. Il appartient au ministère public, en principe exclusivement, sous réserve des correctifs prévus aux art. 329, 333 et 344 CPP, de décider quels faits et quelles infractions vont être renvoyés en jugement (TF 6B_1157/2019 précité ; TF 6B_690/2014 précité consid. 4.2 et les références citées). Ainsi, l’art. 329 al. 1 CPP prévoit que la direction de la procédure examine si l’acte d’accusation et le dossier sont établis régulièrement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(art. 329 al. 2 CPP). L’art. 329 al. 2 CPP doit permettre d’éviter qu’une accusation clairement insuffisante ne conduise à des débats inutiles, mais ne fonde aucune prétention, de la part du ministère public, à se voir retourner l’accusation (TF 6B_177/2019 du 18 mars 2019 consid. 3.2). 2.2.4 Lorsque le ministère public décide de ne poursuivre qu’une partie des faits allégués par la victime, il doit à la fois rendre une ordonnance pénale et une décision formelle de classement partiel qui puisse faire l’objet d’un recours. Si à la suite d’une agression par exemple,</w:t>
      </w:r>
    </w:p>
    <w:p>
      <w:r>
        <w:t>- 10 - le ministère public ne poursuit pas l’ensemble des lésions que la victime a fait valoir, celui-ci doit impérativement rendre une ordonnance explicite de classement partiel s’agissant des lésions qui n’ont pas été prises en compte (ATF 148 IV 124 consid. 2.6.5, JdT 2022 IV 265). De telles ordonnances de classement partiel ne rendent pas impossible la condamnation des faits incriminés lors de la même procédure, même si elles concernent également l’état de fait sur lequel s’est basée l’accusation et qu’elles n’ont en fin de compte pas été attaquées. Il est essentiel que l’ordonnance de classement partiel se réfère à l’accusation qui a été déposée en même temps voire qui est déjà pendante, et que l’ordonnance de classement soit par conséquent déclarée comme telle. Il doit ressortir de l’ordonnance de classement partiel que la procédure n’est pas classée dans son ensemble, mais seulement en ce qui concerne certaines circonstances aggravantes qui ne font pas l’objet de l’accusation comme par exemple des faits supplémentaires allégués par la victime (par ex. des lésions additionnelles) ou des éléments subjectifs supplémentaires. De telles ordonnances de classement partiel n’ont par conséquent pas pour but le classement de l’ensemble de la procédure mais uniquement de fixer l’objet de la procédure judiciaire. L’effet de blocage du principe « ne bis in idem » d’une ordonnance de classement partiel entrée en force ne se rapporte qu’aux circonstances concernées par le classement partiel et non pas simultanément aux accusations formulées dans l’acte d’accusation (ibidem consid. 2.6.6). Un classement partiel n'entre en ligne de compte que si plusieurs faits ou comportements doivent être jugés et qu'ils peuvent faire l'objet de décisions séparées. Tel n'est pas le cas en présence de plusieurs qualifications juridiques d'un seul et même état de faits (ATF 144 IV 362 consid. 1.3.1). Lorsqu'un classement partiel est ordonné dans une procédure dans le cadre de laquelle il n'était pas possible mais qu'il entre néanmoins en force, il exclut toute condamnation à raison des mêmes faits. L'autorité de jugement ne peut plus se saisir des faits classés sans violer le principe « ne bis in idem » (ATF 144 IV 362 consid. 1.4).</w:t>
      </w:r>
    </w:p>
    <w:p>
      <w:r>
        <w:t>- 11 - 2.2.5 Le ministère public ne peut pas rejeter de manière arbitraire la modification ou le complément d’une accusation s’agissant d’une qualification juridique plus sévère et doit procéder dans le doute selon le principe « in dubio pro duriore ». 2.2.6 La forme et le contenu de l’ordonnance de classement sont régis par les art. 80 et 81 CPP (art. 320 al. 1 CPP). L’ordonnance de classement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consid. 2.5 ; TF 6B_1157/2019 du 12 novembre 2019 consid. 2.2). A défaut, on se trouve en présence d’un classement implicite, qui doit être annulé (CREP 24 octobre 2023/879 consid. 2.1.2 ; 31 mars 2023/269 consid. 3.1 et les références citées). Sous réserve de circonstances particulières, l’annulation doit frapper uniquement la décision implicite elle-même, mais non pas l’ordonnance attaquée en tant que telle (CREP 31 mars 2023/269 précité et les références citées). 2.3 En l’espèce, force est de constater que l’acte d’accusation ne mentionne pas les deux points évoqués par A.J.________, soit l’épisode des coups qui lui auraient été portés par B.J.________ à l’aide des lattes du lit et le contrôle que celui-ci aurait opéré sur son téléphone et ses contacts avec l’extérieur. Certes, l’enquête n’a pas révélé spécifiquement ces évènements, mais il en va de même des autres faits pourtant retenus dans l’acte d’accusation, qui reposent sur les seules déclarations de A.J.________. Partant, c’est à juste titre que cette dernière expose que l’acte d’accusation, tel que rédigé, omet une partie des faits qui ressortent de ses déclarations. Ces éléments concernent un comportement du prévenu et des épisodes distincts de ceux retenus dans l’acte d’accusation, de sorte que le ministère public aurait dû soit intégrer ces faits dans son acte d’accusation, soit rendre une ordonnance formelle de</w:t>
      </w:r>
    </w:p>
    <w:p>
      <w:r>
        <w:t>- 12 - classement partiel s’agissant de ceux-ci. L’acte d’accusation contient ainsi un classement implicite. 3. En définitive, le recours doit être admis, l’acte d’accusation, en tant qu’il vaut classement implicite, annulé et le dossier de la cause renvoyé au ministère public pour qu’il procède dans le sens des considérants. Vu l’admission du recours, les frais de la procédure, constitués de l’émolument d’arrêt, par 1'210 fr. (art. 20 al. 1 TFIP [tarif des frais de procédure et indemnités en matière pénale du 28 septembre 2010 ; BLV 312.03.1]), ainsi que de l’indemnité allouée au conseil juridique gratuit de la recourante, arrêtée sur la base d’une activité nécessaire d'avocat breveté de 3 heures au tarif horaire de 180 fr., soit 540 fr., montant auquel s'ajoutent des débours forfaitaires à concurrence de 2 % des honoraires admis (art. 3bis al. 1 RAJ [règlement du 7 décembre 2010 sur l'assistance judiciaire en matière civile ; BLV 211.02.3], applicable par renvoi de l’art. 26b TFIP), par 10 fr. 80, et la TVA au taux de 8,1 % sur le tout, par 44 fr. 60, soit à 596 fr. au total en chiffres arrondis, seront laissés à la charge de l’Etat (art. 428 al. 4 CPP). L’intimé, qui a renoncé à se déterminer, n’a pas droit à une indemnité. Par ces motifs, la Chambre des recours pénale prononce : I. Le recours est admis. II. L’acte d’accusation du 18 janvier 2024, en tant qu’il vaut classement implicite, est annulé. III. Le dossier de la cause est renvoyé au Ministère public de l’arrondissement de Lausanne pour qu’il procède dans le sens des considérants.</w:t>
      </w:r>
    </w:p>
    <w:p>
      <w:r>
        <w:t>- 13 - IV. L’indemnité allouée à Me Loïc Parein, conseil juridique gratuit de A.J.________, est fixée à 596 fr. (cinq cent nonante-six francs), débours et TVA compris. V. Les frais d’arrêt, par 1’210 fr. (mille deux cent dix francs), ainsi que l’indemnité due au conseil juridique gratuit de A.J.________, sont laissés à la charge de l’Etat. VI. L’arrêt est exécutoire. La vice-présidente : Le greffier : Du Le présent arrêt, dont la rédaction a été approuvée à huis clos, est notifié, par l'envoi d'une copie complète, à : - Me Loïc Parein, avocat (pour A.J.________), - Ministère public central ; et communiqué à : - Mme la Procureure d’arrondissement de Lausanne, - Me Elodie Gallarotti, avocate (pour B.J.________)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