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PE22.018467 vom 14. Juni 2024</w:t>
      </w:r>
    </w:p>
    <w:p>
      <w:r>
        <w:t>VD Tribunal cantonal, 2024-06-14, FR</w:t>
      </w:r>
    </w:p>
    <w:p>
      <w:r>
        <w:rPr>
          <w:b/>
        </w:rPr>
        <w:t xml:space="preserve">Quelle: </w:t>
      </w:r>
      <w:r>
        <w:t>https://mcp.opencaselaw.ch/entscheid/vd_gerichte_PE22.018467</w:t>
      </w:r>
    </w:p>
    <w:p>
      <w:r>
        <w:t>FR: VD_GERICHTE PE22.018467 du 14 juin 2024</w:t>
      </w:r>
    </w:p>
    <w:p>
      <w:r>
        <w:t>IT: VD_GERICHTE PE22.018467 del 14 giugno 2024</w:t>
      </w:r>
    </w:p>
    <w:p>
      <w:pPr>
        <w:pStyle w:val="Heading2"/>
      </w:pPr>
      <w:r>
        <w:t>Erwägungen</w:t>
      </w:r>
    </w:p>
    <w:p>
      <w:r>
        <w:rPr>
          <w:b/>
        </w:rPr>
        <w:t>E. 3.1</w:t>
      </w:r>
    </w:p>
    <w:p>
      <w:r>
        <w:t>Le recourant critique le rejet de mettre en œuvre une expertise, en particulier sur le respect des normes de sécurité s’agissant de la manière dont l’échafaudage qui se trouvait au-dessus de lui a été monté, ainsi que sur les points de savoir si son ancien employeur a respecté toutes les mesures de sécurité sur le chantier et si F.________ a respecté toutes les mesures de sécurité dans la manière de poser le niveau sur l’échafaudage. En outre, dans la mesure où les témoins entendus n’ont pas le rôle d’experts, il considère que le Ministère public ne pouvait pas rejeter sa requête pour le motif que la question du respect des normes avait déjà été abordée avec eux. Sur le fond, le recourant soutient que le Ministère public a procédé à une appréciation arbitraire des faits à plusieurs titres. Premièrement en retenant que le prévenu travaillait avec d’autres ouvriers sur l’échafaudage en question au moment des faits, mais que l’enquête n’a pas permis d’identifier ces personnes : le recourant expose que F.________ a prétendu que son collègue T2.________ se trouvait sur le même échafaudage que lui, que ce dernier a déclaré que cela n’était pas le cas et que l’ouvrier T1.________ a confirmé la version de T2.________ ; dans ces conditions, il considère qu’il ne peut pas être retenu que d’autres personnes que le prévenu se trouvaient sur l’échafaudage au moment de l’accident. Deuxièmement en retenant que rien ne permettait de penser que le prévenu n’avait pas posé le niveau conformément aux prescriptions de sécurité : le recourant soutient qu’il résulte des auditions de T4.________, T1.________ et T3.________ qu’il n’existait pas de règle stricte à ce sujet, mais que les niveaux devaient être posés à plat sur le plateau pour éviter qu’ils tombent, et que l’enquête n’a pas démontré qu’un</w:t>
      </w:r>
    </w:p>
    <w:p>
      <w:r>
        <w:t>- 8 - élément extérieur avait fait tomber le niveau. Troisièmement en retenant que, même posé à plat, le niveau pouvait, suivant la force d’une éventuelle secousse de l’échafaudage, tomber de son support : le recourant considère que cette dernière considération doit être appuyée par les dires d’un expert.</w:t>
      </w:r>
    </w:p>
    <w:p>
      <w:r>
        <w:rPr>
          <w:b/>
        </w:rPr>
        <w:t>E. 3.2.1</w:t>
      </w:r>
    </w:p>
    <w:p>
      <w:r>
        <w:t>Aux termes de l’art. 125 CP (dans sa nouvelle version dès le 1er juillet 2023, qui n’est que d’ordre formel), quiconque, par négligence, fait subir à une personne une atteinte à l’intégrité corporelle ou à la santé est, sur plainte, puni d’une peine privative de liberté de trois ans au plus ou d’une peine pécuniaire (al. 1). Si la lésion est grave, l’auteur est poursuivi d’office (al. 2). Cette infraction suppose la réalisation de trois conditions, à savoir une négligence, une atteinte à l'intégrité physique et un lien de causalité naturelle et adéquate entre ces deux éléments (TF 6B_33/2021 du 12 juillet 2021 consid. 3.1 ; TF 6B_1420/2016 du 3 octobre 2017 consid. 1.1.1). 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 Pour déterminer plus précisément les devoirs imposés par la prudence, on peut se référer à des normes édictées par l'ordre juridique pour assurer la sécurité et éviter des accidents (ATF 143 IV 138 consid. 2.1). L'infraction de lésions corporelles par négligence suppose en règle générale un comportement actif. Elle peut toutefois aussi être commise par omission si l’auteur est resté passif au mépris d’une</w:t>
      </w:r>
    </w:p>
    <w:p>
      <w:r>
        <w:t>- 9 - obligation juridique qui lui commandait impérieusement d'agir pour éviter le résultat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risques librement consentie ou de la création d'un risque (art. 11 al. 2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141 IV 249 consid. 1.1 ; ATF 134 IV 255 consid. 4.2.1 et les réf.).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w:t>
      </w:r>
    </w:p>
    <w:p>
      <w:r>
        <w:t>- 10 - intellectuellement dans le raisonnement sans en exclure, très vraisemblablement, le résultat (ATF 116 IV 182 consid. 4a ; TF 6B_177/2017 du 6 septembre 2017 consid. 4.1). La causalité adéquate est ainsi exclue lorsque l'acte attendu n'aurait vraisemblablement pas empêché la survenance du résultat ou lorsqu'il serait simplement possible qu'il l'eût empêché (TF 6B_948/2017 du 8 mars 2018 consid. 4.1 ; TF 6B_177/2017 précité consid. 4.1).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w:t>
      </w:r>
    </w:p>
    <w:p>
      <w:r>
        <w:rPr>
          <w:b/>
        </w:rPr>
        <w:t>E. 3.2.2</w:t>
      </w:r>
    </w:p>
    <w:p>
      <w:r>
        <w:t>Selon l'art. 229 CP dans sa teneur au 1er janvier 2022 (la nouvelle version au 1er juillet 2023 étant moins favorable), celui qui, intentionnellement, aura enfreint les règles de l'art en dirigeant ou en exécutant une construction ou une démolition et aura par-là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 L’art. 17 OTConst, qui concerne la protection contre l’écroulement d’éléments de construction ou la chute d’objets et de matériaux, dispose qu’aux postes de travail et aux passages, des mesures doivent être prises afin que les travailleurs ne soient pas mis en danger</w:t>
      </w:r>
    </w:p>
    <w:p>
      <w:r>
        <w:t>- 11 - par des éléments de construction qui s’écroulent, ou par des objets et des matériaux qui tombent, glissent, roulent ou se déversent. L’art. 18 OTConst, qui traite des objets et matériaux que l’on jette ou laisse tomber, prévoit qu’on ne peut jeter ou laisser tomber des objets et des matériaux que si l’accès à la zone de danger est barricadé ou si ces objets et matériaux sont acheminés sur toute la longueur par des canaux, des glissières fermées ou d’autres moyens analogues.</w:t>
      </w:r>
    </w:p>
    <w:p>
      <w:r>
        <w:rPr>
          <w:b/>
        </w:rPr>
        <w:t>E. 3.3</w:t>
      </w:r>
    </w:p>
    <w:p>
      <w:r>
        <w:t>D’emblée, on constate que le recourant ne conteste pas l’appréciation du Ministère public selon laquelle les travailleurs et/ou leurs responsables ayant pris en charge le recourant juste après l’accident n’ont pas de commis de négligence fautive en décidant de ne pas appeler une ambulance mais de conduire l’intéressé immédiatement en camionnette à l’Hôpital ophtalmique Jules Gonin. Comme le retient le Ministère public, la police et la SUVA ne sont pas intervenues juste après les faits et le prévenu ainsi que les six personnes appelées à donner des renseignements ont été entendus dix à onze mois après les faits, alors que les conséquences tragiques de l’accident étaient connues de tous. L’instruction de la cause en a ainsi été complexifiée. Seul figure au dossier le compte rendu établi par D.________Sàrl le jour suivant l’accident, entreprise qui était mandatée par la constructrice. Deux photographies de l’échafaudage y sont reproduites. Le Ministère public a soumis ce rapport à la SUVA pour qu’elle renseigne sur l’existence de prescriptions de sécurité et sur la situation telle que présentée avec le compte rendu de D.________Sàrl. Or, dans sa réponse du 20 juin 2023, la SUVA a exposé les principales normes légales applicables et expliqué que la manière de ranger/déposer les outils lorsqu’ils n’étaient pas utilisés, en général et en particulier lors de travaux effectués depuis un échafaudage, relevait de l’organisation interne des entreprises, mais elle ne s’est pas déterminée sur la situation telle que présentée avec le compte rendu de D.________Sàrl. On ignore si la SUVA a omis de répondre à cette question ou si elle estimait qu’elle était en incapacité de le faire mais qu’elle ne l’a pas dit. Il apparaît par conséquent indispensable que la SUVA se détermine sur ce point.</w:t>
      </w:r>
    </w:p>
    <w:p>
      <w:r>
        <w:t>- 12 - Concernant les circonstances de l’accident, le prévenu a déclaré dans un premier temps que T2.________ se trouvait à quelques mètres de lui sur l’échafaudage en train de travailler (PV aud. 7, R. 11), puis dans un deuxième temps qu’il savait que son collègue T2.________ faisait le même travail que lui à une autre fenêtre quinze minutes avant l’accident, mais qu’il ne pouvait pas dire si celui-ci était toujours à proximité de lui au moment de l’accident (PV aud. 7, R. 27). T2.________ a nié qu’il se trouvait à côté du prévenu sur l’échafaudage et a prétendu qu’il était en train de travailler sur un autre bâtiment (PV aud. 3, R. 10). A ce stade de l’instruction, seule la présence du prévenu sur l’échafaudage est établie. Cela dit, il est prématuré d’affirmer, comme le fait le Ministère public, que d’autres personnes travaillaient en même temps que le prévenu sur l’échafaudage le matin des faits mais que l’instruction n’a pas permis de les identifier, même si cela paraît plausible pour un chantier important. Il ne semble pas que des mesures d’instruction aient été entreprises pour arriver à ce constat. Le Ministère public devra par conséquent investiguer à cet égard. Les procès-verbaux du chantier en particulier pourraient apporter des renseignements utiles. S’il est établi que d’autres travailleurs étaient présents sur l’échafaudage ou à proximité de celui-ci au moment de l’accident, il s’agira alors de déterminer si leur activité était susceptible de faire bouger l’échafaudage. En définitive, le Ministère public devra instruire la cause comme évoqué ci-dessus et procéder à toute autre mesure d’instruction qu’il estimera utile au fil des renseignements recueillis.</w:t>
      </w:r>
    </w:p>
    <w:p>
      <w:r>
        <w:rPr>
          <w:b/>
        </w:rPr>
        <w:t>E. 4</w:t>
      </w:r>
    </w:p>
    <w:p>
      <w:r>
        <w:t>Il résulte de ce qui précède que le recours doit être admis, l’ordonnance entreprise annulée et le dossier de la cause renvoyé au Ministère public pour qu’il procède dans le sens des considérants. Me Annie Schnitzler, conseil juridique gratuit de X.________, a droit à une indemnité pour la procédure de recours. Au vu du travail accompli, il sera retenu 5 h d'activité nécessaire d’avocat au tarif horaire de 180 fr. (art. 2 al. 1 let. a et 3 al. 2 RAJ [règlement sur l'assistance</w:t>
      </w:r>
    </w:p>
    <w:p>
      <w:r>
        <w:t>- 13 - judiciaire en matière civile du 7 décembre 2010 ; BLV 211.02.3] par renvoi de l'art. 26b TFIP [tarif des frais de procédure et indemnités en matière pénale du 28 septembre 2010 ; BLV 312.03.1]), soit un émolument de 900 francs. Il faut y ajouter 2 % pour les débours (art. 3bis al. 1 RAJ par renvoi de l'art. 26b TFIP), soit 18 fr., et 7,7 % de TVA sur le tout, soit 70 fr. 68, de sorte que l'indemnité totale s'élève à 989 fr. en chiffres ronds. Vu l’issue du recours, les frais de la procédure de recours, par 1’320 fr. (art. 20 al. 1 TFIP), ainsi que l’indemnité allouée à Me Annie Schnitzler, par 989 fr., seront laissés à la charge de l’Etat (art. 428 al. 4 CPP). Par ces motifs, la Chambre des recours pénale prononce : I. Le recours est admis. II. L’ordonnance du 30 novembre 2023 est annulée. III. Le dossier de la cause est renvoyé au Ministère public de l’arrondissement de Lausanne pour qu’il procède dans le sens des considérants. IV. L’indemnité allouée à Me Annie Schnitzler, conseil juridique gratuit de X.________, est fixée à 989 fr. (neuf cent huitante- neuf francs). V. Les frais d’arrêt, par 1'320 fr. (mille trois cent vingt francs), et l’indemnité allouée à Me Annie Schnitzler, par 989 fr. (neuf cent huitante-neuf francs), sont laissés à la charge de l’Etat. VI. L’arrêt est exécutoire. Le président : La greffière :</w:t>
      </w:r>
    </w:p>
    <w:p>
      <w:r>
        <w:t>- 14 - Du Le présent arrêt, dont la rédaction a été approuvée à huis clos, est notifié, par l'envoi d'une copie complète, à : - Me Annie Schnitzler, avocate (pour X.________), - Me Marie Théraulaz, avocate (pour F.________),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