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PE22.018069 vom 4. April 2025</w:t>
      </w:r>
    </w:p>
    <w:p>
      <w:r>
        <w:t>VD Tribunal cantonal, 2025-04-04, FR</w:t>
      </w:r>
    </w:p>
    <w:p>
      <w:r>
        <w:rPr>
          <w:b/>
        </w:rPr>
        <w:t xml:space="preserve">Quelle: </w:t>
      </w:r>
      <w:r>
        <w:t>https://mcp.opencaselaw.ch/entscheid/vd_gerichte_PE22.018069</w:t>
      </w:r>
    </w:p>
    <w:p>
      <w:r>
        <w:t>FR: VD_GERICHTE PE22.018069 du 4 avril 2025</w:t>
      </w:r>
    </w:p>
    <w:p>
      <w:r>
        <w:t>IT: VD_GERICHTE PE22.018069 del 4 aprile 2025</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 TF 6B_1035/2022 du 12 janvier 2023 consid. 3.3.1 ; TF 6B_1058/2018 du 17 décembre 2018 consid. 1.1). En tous les cas, le délai de réplique spontané ne saurait être supérieur au délai de recours (TF 5A_756/2022 du 20 février 2023 consid. 3.2).</w:t>
      </w:r>
    </w:p>
    <w:p>
      <w:r>
        <w:rPr>
          <w:b/>
        </w:rPr>
        <w:t>E. 1.2</w:t>
      </w:r>
    </w:p>
    <w:p>
      <w:r>
        <w:t>En l’espèce, interjeté dans le délai légal auprès de l’autorité compétente par une partie qui a qualité pour recourir (art. 382 al. 1 CPP) et satisfaisant aux conditions de forme posées par l’art. 385 al. 1 CPP, le recours est recevable. Le recours est en revanche irrecevable en tant qu’il tend à rappeler au Ministère public d’entendre U.________ et des témoins et l’enjoindre à prononcer la disjonction de la cause K.________ contre Q.________ et Z.________, ces éléments étant étrangers à la décision entreprise.</w:t>
      </w:r>
    </w:p>
    <w:p>
      <w:r>
        <w:rPr>
          <w:b/>
        </w:rPr>
        <w:t>E. 2.1</w:t>
      </w:r>
    </w:p>
    <w:p>
      <w:r>
        <w:t>Les recourants ont requis, par courrier du 1er avril 2025, l’octroi d’un délai supplémentaire pour exercer leur droit de réplique.</w:t>
      </w:r>
    </w:p>
    <w:p>
      <w:r>
        <w:rPr>
          <w:b/>
        </w:rPr>
        <w:t>E. 2.2.1</w:t>
      </w:r>
    </w:p>
    <w:p>
      <w:r>
        <w:t>Conformément aux art. 29 al. 2 Cst. (Constitution fédérale de la Confédération suisse du 18 avril 1999 ; RS.101) et 6 CEDH (Convention de sauvegarde des droits de l’homme et des libertés fondamentales du 4</w:t>
      </w:r>
    </w:p>
    <w:p>
      <w:r>
        <w:t>- 6 -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TF 6B_240/2022 du 16 mars 2023 consid. 1.1.1 ; TF 6B_1031/2021 du 28 novembre 2022 consid. 1.2).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(ATF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(TF 6B_240/2022 du 16 mars 2023 consid.</w:t>
      </w:r>
    </w:p>
    <w:p>
      <w:r>
        <w:rPr>
          <w:b/>
        </w:rPr>
        <w:t>E. 2.2.2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w:t>
      </w:r>
    </w:p>
    <w:p>
      <w:r>
        <w:t>- 7 -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w:t>
      </w:r>
    </w:p>
    <w:p>
      <w:r>
        <w:rPr>
          <w:b/>
        </w:rPr>
        <w:t>E. 2.3</w:t>
      </w:r>
    </w:p>
    <w:p>
      <w:r>
        <w:t>En l’espèce, le courrier de la Cour de céans du 4 mars 2025, à défaut d’avoir été retiré et en tenant compte d’une fiction de notification à l’échéance du délai de garde de 7 jours, est réputé avoir été reçu par chacun des recourants le 11 mars 2025. Compte tenu du temps écoulé depuis cette date jusqu’au 1er avril 2025, et au regard de la jurisprudence citées ci-dessus, il n’y a pas lieu d’admettre la requête du 1er avril 2025 et de fixer un délai aux recourants pour déposer de nouvelles observations. Du reste, ceux-ci ont été avisés que le nouvel avis ne faisait pas courir de nouveaux délais.</w:t>
      </w:r>
    </w:p>
    <w:p>
      <w:r>
        <w:rPr>
          <w:b/>
        </w:rPr>
        <w:t>E. 3.1</w:t>
      </w:r>
    </w:p>
    <w:p>
      <w:r>
        <w:t>Les recourants soutiennent que la cause liée à leur plainte pour vol et celle liée à la plainte d’U.________ pour injure seraient connexes au point que leur disjonction n’aurait aucun sens. Celle-ci compliquerait par ailleurs le traitement du dossier et serait en contradiction manifeste avec les ordonnances du Ministère public des 3 janvier 2023 et 16 mai 2023. Pour sa part, le Ministère public a indiqué en substance que les faits reprochés aux recourants en lien avec l’infraction d’injure au préjudice d’U.________ étaient instruits à suffisance et avaient fait l’objet d’ordonnances pénales, frappées d’oppositions, au contraire des autres objets, qui devraient prochainement faire l’objet d’ordonnances de classement, respectivement de suspension. La disjonction des causes devait ainsi permettre à la cause qui concerne la plainte pour injure d’être jugée avant que cette infraction soit prescrite. Il a ajouté que cette disjonction ne nuirait pas aux recourants puisque l’historique complet de l’affaire figurerait dans chaque dossier.</w:t>
      </w:r>
    </w:p>
    <w:p>
      <w:r>
        <w:t>- 8 -</w:t>
      </w:r>
    </w:p>
    <w:p>
      <w:r>
        <w:rPr>
          <w:b/>
        </w:rPr>
        <w:t>E. 3.2.1</w:t>
      </w:r>
    </w:p>
    <w:p>
      <w:r>
        <w:t>Le droit d'être entendu, tel qu'il est garanti par les art. 29 al. 2 Cst. (Constitution fédérale de la Confédération suisse du 18 avril 1999 ; RS 101), 6 § 1 CEDH (Convention de sauvegarde des droits de l’homme et des libertés fondamentales du 4 novembre 1950 ; RS 0.101)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 TF 7B_68/2022 du 6 mars 2024 consid. 2.2.1), de manière que l'intéressé puisse se rendre compte de la portée de celle-ci et l'attaquer en connaissance de cause (ATF 143 IV 40 consid. 3.4.3 ; ATF 141 IV 249 consid. 1.3.1 ; ATF 139 IV 179 précité). Il n'a toutefois pas l'obligation d'exposer et de discuter tous les faits, moyens de preuve et griefs invoqués par les parties, mais peut se limiter à l'examen des questions décisives pour l'issue du litige (ATF 147 IV 249 consid. 2.4 ; ATF 142 II 154 consid. 4.2 ; ATF 139 IV 179 précité). La motivation peut d'ailleurs être implicite et résulter des différents considérants de la décision (ATF 141 V 557 consid. 3.2.1 ; TF 7B_68/2022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de guérir le vice procédural</w:t>
      </w:r>
    </w:p>
    <w:p>
      <w:r>
        <w:t>- 9 - invoqué (art. 391 al. 1 et 393 al. 2 CPP ; TF 6B_1239/2020 du 2 décembre 2020 consid. 6 ; CREP 22 septembre 2023/756 consid. 2.2).</w:t>
      </w:r>
    </w:p>
    <w:p>
      <w:r>
        <w:rPr>
          <w:b/>
        </w:rPr>
        <w:t>E. 3.2.2</w:t>
      </w:r>
    </w:p>
    <w:p>
      <w:r>
        <w:t>Consacrant le principe dit de l’unité de la procédure, l’art. 29 al. 1 CPP prévoit que les infractions sont poursuivies et jugées conjointement lorsqu’un prévenu a commis plusieurs infractions (let. a) ou lorsqu’il y a plusieurs coauteurs ou participation (let. b). Ce principe tend à éviter des jugements contradictoires, que ce soit au niveau de la constatation des faits, de l’appréciation juridique ou de la fixation de la peine. Il permet également de satisfaire au principe de l’égalité de traitement visé à l’art. 8 Cst. et sert l’économie de la procédure (ATF 138 IV 214 consid. 3.2 ; ATF 138 IV 29 consid. 3.2, JdT 2012 IV 185 et les références citées ; TF 6B_40/2023 du 8 janvier 2024 consid. 1.1). Le Tribunal fédéral a relevé le caractère problématique, du point de vue du droit à un procès équitable garanti aux art. 29 al. 1 Cst. et</w:t>
      </w:r>
    </w:p>
    <w:p>
      <w:r>
        <w:rPr>
          <w:b/>
        </w:rPr>
        <w:t>E. 3.3.1</w:t>
      </w:r>
    </w:p>
    <w:p>
      <w:r>
        <w:t>Dans l'ordonnance attaquée, le Ministère public indique que la procédure dirigée contre les recourants pour injure devrait être disjointe des autres pour simplifier la procédure. Cette motivation est insuffisante pour permettre de comprendre exactement le raisonnement suivi par le procureur, et ce d’autant qu’il semble avoir changé d’avis en cours de procédure. Cela étant, dans la mesure où la violation du droit d’être entendu des recourants n’est pas particulièrement grave et où le Ministère public a déposé des déterminations circonstanciées, dont les recourants ont pu prendre connaissance, il y a lieu d’admettre que le vice est réparé en procédure de recours, la Chambre de céans disposant d’un plein pouvoir d’examen en fait et en droit.</w:t>
      </w:r>
    </w:p>
    <w:p>
      <w:r>
        <w:rPr>
          <w:b/>
        </w:rPr>
        <w:t>E. 3.3.2</w:t>
      </w:r>
    </w:p>
    <w:p>
      <w:r>
        <w:t>En l’espèce, la prescription de l’infraction d’injure sera atteinte en 2026 (art. 178 CP [Code pénal suisse du 21 décembre 1937 ; RS 311.0), ce qui justifie qu’elle soit jugée rapidement. Or, le maintien de la jonction requise par les recourants ne le permettrait vraisemblablement pas. Dans ces circonstances, la connexité de la cause en question avec la plainte pour vol d’U.________ n’apparaît pas être un argument déterminant. On relèvera encore que l’ordonnance en cause ne viole pas le principe de la bonne foi en dépit de décisions antérieures de refus de disjoindre les causes, les circonstances – soit le stade d’avancement de la procédure et la cause visée par la disjonction – n'étant pas les mêmes. Enfin, en dépit de ce que soutiennent les recourants, cette disjonction ne leur nuira pas, puisque l’ensemble des pièces utiles, le cas échéant sous forme de copies, figureront dans chaque dossier.</w:t>
      </w:r>
    </w:p>
    <w:p>
      <w:r>
        <w:t>- 11 - 4. En définitive, le recours doit être rejeté dans la mesure où il est recevable et l’ordonnance entreprise confirmée. Partant, la requête d’effet suspensif déposée par les recourants le 1er avril 2025 est sans objet. Vu le sort du recours, les frais de la procédure, constitués en l’espèce de l’émolument d'arrêt, par 1’210 fr. (art. 20 al. 1 TFIP), seront exceptionnellement mis à la charge de l’Etat, le Ministère public ayant complété une motivation déficiente de son ordonnance en cours de procédure de recours. K.________, qui a procédé avec l’assistance d’un défenseur de choix en procédure de recours, a droit, à la charge de l’Etat, à une indemnité pour les dépenses occasionnées par cette procédure (art. 433 CPP, applicable par renvoi de l’art. 436 al. 1 CPP). Au vu du bref courrier déposé, ainsi que de la nature de l’affaire, l’indemnité doit être arrêtée sur la base d’une durée d’activité nécessaire d’avocat de 30 minutes, au tarif horaire de 300 fr. (art. 26a al. 3 TFIP). Aux honoraires de 150 fr. il convient d’ajouter des débours forfaitaires à concurrence de 2 %, s’agissant de la deuxième instance (art. 19 al. 2 TDC, applicable par renvoi de l’art. 26a al.</w:t>
      </w:r>
    </w:p>
    <w:p>
      <w:r>
        <w:rPr>
          <w:b/>
        </w:rPr>
        <w:t>E. 6</w:t>
      </w:r>
    </w:p>
    <w:p>
      <w:r>
        <w:t>TFIP), par 3 fr., plus la TVA au taux de 8.1 %, par 12 fr. 40. L’indemnité pour la procédure de recours se monte donc à 165 fr. 40 au total. Elle sera également laissée à la charge de l’Etat. Par ces motifs, la Chambre des recours pénale prononce : I. Le recours est rejeté dans la mesure où il est recevable. II. L'ordonnance du 7 janvier 2025 est confirmée. III. La requête d’effet suspensif est sans objet. IV. Les frais d’arrêt, par 1'210 fr. (mille deux cent dix francs), sont laissés à la charge de l’Etat.</w:t>
      </w:r>
    </w:p>
    <w:p>
      <w:r>
        <w:t>- 12 - V. Une indemnité de 165 fr. 40 (cent soixante-cinq francs et quarante centimes) est allouée à K.________, au titre d’indemnité pour la procédure de recours, à la charge de l’Etat. VI. L’arrêt est exécutoire. Le président : La greffière : Du Le présent arrêt, dont la rédaction a été approuvée à huis clos, est notifié, par l'envoi d'une copie complète, à : - M. Q.________, - M. Z.________, - Me Alexa Landert (pour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