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PE22.017437 vom 27. Juni 2024</w:t>
      </w:r>
    </w:p>
    <w:p>
      <w:r>
        <w:t>VD Tribunal cantonal, 2024-06-27, FR</w:t>
      </w:r>
    </w:p>
    <w:p>
      <w:r>
        <w:rPr>
          <w:b/>
        </w:rPr>
        <w:t xml:space="preserve">Quelle: </w:t>
      </w:r>
      <w:r>
        <w:t>https://mcp.opencaselaw.ch/entscheid/vd_gerichte_PE22.017437</w:t>
      </w:r>
    </w:p>
    <w:p>
      <w:r>
        <w:t>FR: VD_GERICHTE PE22.017437 du 27 juin 2024</w:t>
      </w:r>
    </w:p>
    <w:p>
      <w:r>
        <w:t>IT: VD_GERICHTE PE22.017437 del 27 giugno 2024</w:t>
      </w:r>
    </w:p>
    <w:p>
      <w:pPr>
        <w:pStyle w:val="Heading2"/>
      </w:pPr>
      <w:r>
        <w:t>Erwägungen</w:t>
      </w:r>
    </w:p>
    <w:p>
      <w:r>
        <w:rPr>
          <w:b/>
        </w:rPr>
        <w:t>E. 6</w:t>
      </w:r>
    </w:p>
    <w:p>
      <w:r>
        <w:t>- 23 -</w:t>
      </w:r>
    </w:p>
    <w:p>
      <w:r>
        <w:rPr>
          <w:b/>
        </w:rPr>
        <w:t>E. 6.1</w:t>
      </w:r>
    </w:p>
    <w:p>
      <w:r>
        <w:t>L'appelant conclut à sa libération de l'accusation de viol pour les faits décrits sous le chiffre 4 de l’acte d’accusation. Il souligne que la plaignante n’avait pas pu situer chronologiquement les actes dénoncés, que son opposition verbale n'était pas prouvée et qu’elle s’était montrée ambivalente sur la manifestation de son refus lors de ses auditions. Il relève également qu’elle avait déclaré qu’il ne s’était jamais montré violent précédemment lorsqu’elle avait refusé des rapports sexuels. Il ne serait ainsi pas crédible qu’elle ne se soit pas opposée aux rapports par crainte de la réaction de l’appelant. Les déclarations de la plaignante ne seraient par ailleurs corroborées par aucun élément matériel. Au contraire, le témoignage de W.________, qui a déclaré que la plaignante ne lui avait jamais parlé des viols, les messages échangés entre les parties durant la période des actes incriminés, qui usent de termes amoureux et ne font jamais mention de viol, et le fait que les parties ont entretenu des relations sexuelles consenties après les faits tendraient à confirmer que les faits dénoncés n’ont pas eu lieu. L’appelant se prévaut enfin du contexte dans lequel les accusations ont eu lieu, relevant que B.Q.________ avait déposé plainte après le refus des autorités civiles d’ordonner à l’appelant de quitter le domicile conjugal.</w:t>
      </w:r>
    </w:p>
    <w:p>
      <w:r>
        <w:rPr>
          <w:b/>
        </w:rPr>
        <w:t>E. 6.2</w:t>
      </w:r>
    </w:p>
    <w:p>
      <w:r>
        <w:t>L’art. 190 CP a subi des modifications au 1er juillet 2024. La nouvelle version, qui étend l’infraction de viol en supprimant la condition de la contrainte, n’est pas plus favorables à l’appelant. Celui-ci sera donc jugé selon les dispositions applicables au moment des faits litigieux (art. 2 al. 1 CP). En application de l’art. 190 al. 1 aCP, se rend coupable de viol celui qui, notamment en usant de menace ou de violence, en exerçant sur sa victime des pressions d’ordre psychique ou en la mettant hors d’état de résister, aura contraint une personne de sexe féminin à subir l’acte sexuel. L’art. 190 CP tend à protéger la libre détermination en matière sexuelle, en réprimant l’usage de la contrainte aux fins d’amener une personne de sexe féminin à subir l’acte sexuel, par lequel on entend l’union naturelle des parties génitales d’un homme et d’une femme. Pour</w:t>
      </w:r>
    </w:p>
    <w:p>
      <w:r>
        <w:t>- 24 - qu’il y ait contrainte en matière sexuelle, il faut que la victime ne soit pas consentante, que l’auteur le sache ou accepte cette éventualité et qu’il passe outre en profitant de la situation ou en utilisant un moyen efficace (ATF 148 IV 234 consid. 3.3). L'art. 190 CP, comme l'art. 189 CP, ne protège des atteintes à la libre détermination en matière sexuelle que pour autant que l'auteur surmonte ou déjoue la résistance que l'on pouvait raisonnablement attendre de la victime (ATF 133 IV 49 consid. 4 ; TF 6B_88/2023 du 8 février 2024 consid. 2.1.2 et les références citées). Le viol et la contrainte sexuelle supposent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6B_127/2023 du 5 juin 2023 consid. 2.2.3 et les références citées).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148 IV 234 consid. 3.3 ; ATF 124 IV 154 consid. 3b). La pression psychique générée par l'auteur et son effet sur la victime doivent néanmoins atteindre une intensité particulière (ATF 148 IV 234 consid. 3.3 ; ATF 131 IV 167 consid. 3.1 et les références citées). Pour déterminer si l'on se trouve en présence d'une contrainte sexuelle, il faut procéder à une appréciation globale des circonstances concrètes déterminantes (ATF 148 IV 234 consid. 3.3 ; ATF 131 IV 107 consid. 2.2).</w:t>
      </w:r>
    </w:p>
    <w:p>
      <w:r>
        <w:t>- 25 -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 TF 6B_319/2024 du 26 novembre 2024 consid. 2.1 et les références citées). Sur le plan subjectif, la contrainte sexuelle et le viol sont des infractions intentionnelles. L'auteur doit savoir que la victime n'est pas consentante ou en accepter l'éventualité (ATF 148 IV 234 consid. 3.4).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6B_156/2024 du 23 septembre 2024 consid. 3.1.2).</w:t>
      </w:r>
    </w:p>
    <w:p>
      <w:r>
        <w:rPr>
          <w:b/>
        </w:rPr>
        <w:t>E. 6.3</w:t>
      </w:r>
    </w:p>
    <w:p>
      <w:r>
        <w:t>En l’espèce, le récit de la plaignante a été constant tout au long de la procédure. S’agissant du premier cas, elle a toujours expliqué que l’appelant était rentré ivre, qu’il était entré dans la chambre alors qu’elle dormait déjà, qu’il lui avait dit avoir envie d’elle, qu’elle lui avait répondu ne pas avoir envie et avait manifesté plusieurs fois son opposition verbalement, qu’il lui avait dit qu’elle était son épouse et qu’il faisait ce qu’il voulait, qu’il lui avait enlevé son string de force, qu’il s’était couché sur elle de tout son poids pour l’empêcher de bouger, qu’il lui avait écarté les jambes avec les mains avant de la pénétrer, qu’elle était restée avec la tête tournée sur le côté pour pouvoir respirer et pour éviter qu’il ne l’embrasse, qu’elle était restée immobile avec les bras le long du corps durant l’acte et qu’elle s’était laissée faire par peur d’une réaction violente face à son refus. Pour le deuxième cas, elle a déclaré que celui-ci avait eu lieu environ une semaine après le premier, que l’appelant était rentré ivre et avait dit avoir « envie de [la] baiser », qu’elle avait répondu qu’elle ne voulait pas, qu’il s’était couché sur elle pour l’empêcher de bouger, qu’ils étaient dans une position similaire au premier cas durant l’acte et qu’elle</w:t>
      </w:r>
    </w:p>
    <w:p>
      <w:r>
        <w:t>- 26 - s’était laissé faire par peur d’une réaction violente (P. 4 ; PV aud. 1 et 8). Lors des débats de première instance, la plaignante a confirmé les explications qu'elle avait fournies en procédure préliminaire, précisant à nouveau notamment qu'elle s'était laissé faire et qu'elle était comme une morte, la tête de côté (Jugement entrepris, pp. 15 ss). La plaignante a également été en mesure de donner des détails précis sur le déroulement des évènements, notamment sur les propos tenus par l’appelant, soit qu’il avait envie d’elle, qu’il avait « envie de [la] baiser » ou encore que selon la bible la femme est à disposition du mari ; sur la position dans laquelle ils se trouvaient durant l’acte, la plaignante étant couchée sur le dos avec les bras le long du corps et la tête tournée et l’appelant étant couché sur elle de tout son poids, alors que lors de leur relations sexuelles habituelles il retenait une partie de son poids avec ses bras ou ses genoux ; et sur son état d’esprit interne au moment des faits, à savoir que si elle s’opposait physiquement l’appelant risquait de devenir violent et que si elle se laissait faire l’acte serait plus vite terminé et ne lui ferait pas mal. La crédibilité de la plaignante est renforcée par les témoignages de Z.________ et K.________, à qui elle s’est confiée. Ainsi, Z.________ a déclaré que l’intimée lui en avait parlé à la fin du mois de juillet 2022, au moment de la demande de séparation. Elle a indiqué que la plaignante ne lui avait pas donné de détails sur les faits, mais lui avait dit que la relation devenait insupportable et qu’il y avait des contraintes sexuelles sous prétexte du devoir conjugal (PV aud. 3). K.________ a déclaré que la victime s’était confiée à elle avant de déposer plainte, lui rapportant que l’appelant lui avait fait subir deux actes de violences sexuelles durant l’été, alors qu’il était alcoolisé, et qu’il lui avait dit que c’était son devoir d’épouse (PV aud. 4). Contrairement à ce que soutient l’appelant, l’existence de relations sexuelles consentantes entre les deux actes ou après ceux-ci n’a pas pour effet de décrédibiliser les déclarations de la plaignante. En effet, lorsque des infractions à l’intégrité sexuelle sont commises au sein d’un</w:t>
      </w:r>
    </w:p>
    <w:p>
      <w:r>
        <w:t>- 27 - couple, il n’est pas inhabituel que la victime puisse accepter d’entretenir des relations sexuelles par la suite. La teneur des messages échangés par les parties n’est pas plus pertinente. Au vu du caractère jaloux de l’appelant, que lui-même reconnaît, et de sa propension à la violence, il est tout à fait crédible que la plaignante ait uniquement souhaité le convaincre que tout allait bien entre eux afin de se protéger ainsi que leurs enfants. Enfin, la supposition de l’appelant selon laquelle la plaignante aurait porté de fausses accusations à son encontre car elle n’avait pas pu obtenir son départ du logement conjugal dans le cadre de la procédure civile est dénuée de fondement. On relèvera que la plaignante a parlé des actes de violence sexuelle à Z.________ en juillet 2022 déjà (PV 3, R. 7), soit avant l’audience de mesures protectrices de l’union conjugale du 31 août 2022 lors de laquelle les parties sont convenues d’entamer une procédure de médiation et de continuer à cohabiter entre temps (P. 100/3). L’appelant, qui a modifié ses déclarations au fur et à mesure des éléments qui lui étaient soumis, n’est pas crédible. Il a indiqué, lors de sa première audition en date du 21 septembre 2022, qu'il n'avait quasiment plus de relations sexuelles avec la plaignante depuis le mois de juin 2022, ajoutant qu'ils avaient eu quelques relations sexuelles durant les deux premières semaines de juillet. Il a également déclaré à cette occasion qu'il n'avait plus consommé de l'alcool de façon excessive depuis 2020 et qu'il n'était pas sorti en soirée à [...] durant l'été 2022 car il avait beaucoup travaillé. Il a encore ajouté qu'il n'avait pas de souvenir d'avoir été fortement alcoolisé au mois de juillet 2022 et que si tel avait été le cas il n'aurait pas été en mesure d'entretenir une relation sexuelle (PV aud. 2). Le 11 novembre 2022, il est revenu sur ses déclarations pour indiquer qu'il était pas mal sorti durant le mois de juillet 2022. Il n'était cependant selon lui pas possible qu'il ait violé son épouse alors qu'il était ivre car il n'avait pas de véhicule, que ses amis n’étaient pas non plus véhiculés et qu'il ne rentrait jamais à pied à son domicile. Il a précisé qu'en cas d'ivresse il dormait chez des amis à [...]. Il est revenu sur ses propos plus tard lors de la même audition en déclarant qu’un ami l’avait ramené chez lui en voiture le 15 juillet 2022. Il a également nuancé quelque peu ses</w:t>
      </w:r>
    </w:p>
    <w:p>
      <w:r>
        <w:t>- 28 - premières déclarations en expliquant que durant l’été 2022 il avait à une reprise été dans un état d'ébriété tel qu'il avait été malade et avait vomi dans les toilettes. S'agissant des relations sexuelles avec son épouse, il a indiqué que tout se passait très bien jusqu’à mi-juillet 2022 et que ce n’était que par la suite qu'elles avaient commencé à « chuter ». Il a encore déclaré qu’il n’aurait pas pu entretenir de relations sexuelles en étant fortement enivré car il ne pouvait pas avoir d’érection lorsqu’il se trouvait dans cet état (PV aud. 7). Lors de son audition du 23 mars 2023, l’appelant a cette fois déclaré qu'il lui était arrivé de sortir avec des amis et boire des verres à outrance en été 2022 et que durant le mois de juillet 2022 ce genre de sortie survenait à raison d'une fois par semaine. Il a encore précisé qu'il s'était trouvé environ deux fois par mois pendant l'été 2022 dans un état d'ébriété tel qu'il doive vomir, qu'il ait de la peine à s'exprimer et à se déplacer, ou qu'il n'ait plus de souvenir de sa soirée. Il a encore précisé qu'il n'avait pas de problème d'érection, qu'il soit sobre ou « bourré » (PV aud. 9). Au regard de ces éléments, il convient de favoriser la version de la plaignante. Les faits tels que décrits sous le chiffre 4 de l’acte d’accusation sont donc établis. Ces faits réalisent les éléments constitutifs de l’infraction de viol. En effet, maintenir la plaignante en utilisant le poids de son corps afin de l’empêcher de bouger constitue déjà un moyen de contrainte physique. En outre, les violences physiques répétées que l’appelant a fait subir à son épouse depuis le début de leur relation (cf. considérant 5) a eu pour effet de créer un climat de psycho-terreur. Dans ce climat, la plaignante considérait légitimement qu’elle n’avait d’autre choix que d’accepter les rapports sexuels sans s’opposer activement afin d’éviter que l’appelant devienne violent. Agir de la sorte pouvait lui paraître nécessaire pour protéger son intégrité physique ainsi qu’éviter que leurs enfants, qui dormaient dans la chambre voisine, soient témoins d’un acte de violence de l’appelant à son encontre. Le prévenu a donc fait usage de moyens de contrainte tant physique que psychique.</w:t>
      </w:r>
    </w:p>
    <w:p>
      <w:r>
        <w:t>- 29 - Sur le plan subjectif, l’appelant ne pouvait pas ignorer que la plaignante n’était pas consentante. Il ressort tout d’abord des déclarations de cette dernière que les parties s’étaient disputées dans la soirée précédant chacun des actes. En outre, la plaignante a à plusieurs reprises manifesté verbalement son opposition et a adopté un comportement complètement passif durant l’acte. Enfin, au regard des faits commis, l’appelant n’était à l’évidence pas dépourvu de tous ses moyens. Il était donc parfaitement en mesure d’entendre les contestations de la plaignante avant l’acte et de comprendre que son comportement passif durant l’acte indiquait une absence de consentement. La condamnation de l’appelant pour viol doit ainsi être confirmée.</w:t>
      </w:r>
    </w:p>
    <w:p>
      <w:r>
        <w:rPr>
          <w:b/>
        </w:rPr>
        <w:t>E. 7.1</w:t>
      </w:r>
    </w:p>
    <w:p>
      <w:r>
        <w:t>L'appelant conteste sa condamnation pour contrainte en lien avec les faits décrits sous le chiffre 5 de l’acte d’accusation. Il nie avoir fait usage de violence à l’encontre d’O.________ pour l’empêcher de quitter l’appartement. Le fait qu’il ait bousculée O.________ contre une armoire ou ait momentanément bloqué l’accès à la porte d’entrée ne seraient selon lui pas suffisants pour être constitutifs d’un moyen de contrainte. En outre, en quittant le logement O.________ n’avait pas adopté le comportement voulu par l’appelant, ce qui démontrerait qu’elle ne s’était pas laissé intimider.</w:t>
      </w:r>
    </w:p>
    <w:p>
      <w:r>
        <w:rPr>
          <w:b/>
        </w:rPr>
        <w:t>E. 7.2</w:t>
      </w:r>
    </w:p>
    <w:p>
      <w:r>
        <w:t>Se rend coupable de contrainte au sens de l'art. 181 aCP, continuant de trouver application dans la mesure où sa version entrée en vigueur au 1er juillet 2023 n’est pas plus favorable à l’appelant,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rencontre de la victime (ATF 101 IV 42</w:t>
      </w:r>
    </w:p>
    <w:p>
      <w:r>
        <w:t>- 30 - consid. 3a), la menace est un moyen de pression psychologique consistant à annoncer un dommage futur dont la réalisation est présentée comme dépendante de la volonté de l'auteur, sans toutefois qu'il soit nécessaire que cette dépendance soit effective (ATF 106 IV 125 consid. 2a) ni que l'auteur ait réellement la volonté de réaliser sa menace (ATF 105 IV 120 consid. 2 ; TF 6B_8/2024 du 12 décembre 2024 consid. 2.1.1).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 TF 6B_271/2024 du 17 septembre 2024 consid. 2.1.1).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La contrainte peut être réalisée par une accumulation de comportements distincts de l'auteur, par exemple lorsque celui-ci importune sa victime par sa présence de manière répétée pendant une période prolongée (ATF 129 IV 262 consid. 2.4 ; TF 6B_8/2024 précité consid. 2.1.1).</w:t>
      </w:r>
    </w:p>
    <w:p>
      <w:r>
        <w:rPr>
          <w:b/>
        </w:rPr>
        <w:t>E. 7.3</w:t>
      </w:r>
    </w:p>
    <w:p>
      <w:r>
        <w:t>En l’espèce, l’appelant a reconnu avoir attrapé O.________ par les bras et que celle-ci avait dû se débattre pour qu’il la lâche. Il a également admis s’être placé devant la porte de l’appartement et l’avoir empêchée de sortir à trois reprises (PV aud. 10). O.________ a déclaré que l’appelant l'avait retenue par les bras lorsqu'elle avait essayé de se lever du lit, qu'il l'avait poussée contre une armoire et qu’il l'avait injuriée. Elle a</w:t>
      </w:r>
    </w:p>
    <w:p>
      <w:r>
        <w:t>- 31 - relevé qu’il l'avait lâchée au bout d’un moment, mais l’avait ensuite empêchée de sortir de l'appartement. Les faits avaient duré « un bon moment », avec une alternance entre les instants où il la maintenait et la repoussait, notamment contre l'armoire. Compte tenu de la durée de l'épisode et des moyens employés tendant à maintenir ou repousser O.________, les conditions de l’infraction de contrainte sont réalisées. Il est sans pertinence qu’O.________ ait fini par parvenir à quitter l’appartement, le fait que l’appelant l’en ait empêché momentanément et l’ait forcée à avoir une discussion qu’elle ne souhaitait pas avoir est suffisant. Pour le reste, contrairement aux allégations de l’appelant, O.________ a bien eu peur, puisqu'elle s'est rendue au poste de police (P. 40). Elle a d'ailleurs également exprimé sa peur dans son courrier du 19 avril 2024 (P. 89). La condamnation de l’appelant pour contrainte doit ainsi être confirmée.</w:t>
      </w:r>
    </w:p>
    <w:p>
      <w:r>
        <w:rPr>
          <w:b/>
        </w:rPr>
        <w:t>E. 8.1</w:t>
      </w:r>
    </w:p>
    <w:p>
      <w:r>
        <w:t>L'appelant conteste la peine infligée. Il reproche notamment aux premiers juges de ne pas avoir suffisamment tenu compte de sa situation personnelle, de l'effet de la peine sur son avenir et des progrès importants qu'il a fait. Il conteste également la révocation de son précédent sursis, l’expertise retenant uniquement un risque de récidive faible à moyen en l’état.</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- 32 -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w:t>
      </w:r>
    </w:p>
    <w:p>
      <w:r>
        <w:t>- 33 -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8.2.3</w:t>
      </w:r>
    </w:p>
    <w:p>
      <w:r>
        <w:t>Aux termes de l'art. 46 al. 1 CP si, durant le délai d'épreuve, le condamné commet un crime ou un délit et qu'il y a dès lors lieu de prévoir qu'il commettra de nouvelles infractions, le juge révoque le sursis ou le sursis partiel. Selon l'art. 46 al. 2 1ère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consid. 4.2.1).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w:t>
      </w:r>
    </w:p>
    <w:p>
      <w:r>
        <w:t>- 34 - TF 6B_1520/2022 du 5 septembre 2023 consid. 5.2 et les références citées).</w:t>
      </w:r>
    </w:p>
    <w:p>
      <w:r>
        <w:rPr>
          <w:b/>
        </w:rPr>
        <w:t>E. 8.3</w:t>
      </w:r>
    </w:p>
    <w:p>
      <w:r>
        <w:t>Il ressort du rapport d’expertise du 17 octobre 2023, établi par le Dr [...] et [...], respectivement médecin adjoint et psychologue spécialisée en psychologie légale auprès du Réseau fribourgeois de santé mentale, que l’appelant souffre d’un trouble de la personnalité émotionnellement labile de type impulsif. Selon les experts, ce trouble n’était pas de nature à priver l’appelant de sa faculté à apprécier l’illicéité d’un acte, ni à se déterminer d’après sa prime appréciation. En revanche, concernant les faits, les experts sont d’avis que le trouble de la personnalité et la consommation abusive d’alcool avaient légèrement diminué la capacité de l’appelant à se déterminer d’après sa prime appréciation. S’agissant du risque de récidive, les experts ont retenu que le facteur de risque statistique pertinent était le fait que l'acte s'inscrivait déjà dans une récidive. Ils ont retenu que les facteurs de risque individuels et cliniques comportaient le trouble de la personnalité émotionnellement labile de type impulsif (jalousie, immaturité, peur de l'abandon notamment) dont l’appelant souffre, la présence d'un contexte affectif dysfonctionnant (toxicité, tensions, incompréhensions non métabolisées) et la consommation d'alcool qui désinhibe le comportement. Ils ont souligné que l'on pouvait s'attendre à des violences verbales (insultes) voire physiques et que le risque était faible à moyen en l'état, mais s'avérerait moyen à élevé dans une situation similaire à celle vécue avec B.Q.________. Ils ont en revanche considéré que le risque de réitération de violences sexuelles était faible (P. 51). La culpabilité de l’appelant est lourde. Il s'en est pris à l'intégrité psychique, physique et sexuelle de B.Q.________, ainsi qu’à la liberté de mouvement d’O.________. Ses trois dernières compagnes ont fait état de violences physiques à leur égard. Il est maladivement jaloux, tentant par la violence physique et psychique de faire avouer à celles qui partagent sa vie des choses qui ne se sont pas produites. Il a agi sur une relativement longue période et son arrestation n'a pas permis de mettre un terme définitif à ses agissements. En effet, alors qu'il avait été détenu</w:t>
      </w:r>
    </w:p>
    <w:p>
      <w:r>
        <w:t>- 35 - pendant 56 jours en raison des faits commis contre B.Q.________, il a récidivé en commettant les faits constitutifs de contrainte à l’encontre d’O.________. Il a des antécédents, ayant déjà été condamné en 2021 pour des violences commises à l’encontre de son épouse. La prise de conscience est inexistante puisqu’il persiste à nier les faits. A décharge, il faut tenir compte des méthodes éducatives dures subies par l’appelant durant son enfance et d'une légère diminution de responsabilité, attestée par les experts. Il convient en définitive de retenir une culpabilité importante. Au vu de sa culpabilité et pour des raisons de prévention spéciale, c’est une peine privative de liberté qui doit être prononcée à l’encontre de l’appelant pour toutes les infractions où celle-ci est prévue. Le viol est l’infraction la plus grave et doit être sanctionné par une peine privative de liberté de 20 mois. Par l’effet du concours, la peine doit être augmentée de 5 mois pour les menaces qualifiées et 2 mois pour la contrainte. La peine sera ferme, le pronostic étant défavorable au vu des antécédents de l’appelant, de l’absence de prise de conscience et du risque de récidive retenu par les experts. Le sursis accordé à l’appelant par jugement du 28 avril 2021 doit être révoqué dès lors que l’appelant s’est trouvé en situation de récidive spéciale dans l’année qui a suivi ce jugement et ce malgré le traitement psychothérapeutique ambulatoire qui avait été imposé comme règle de conduite assortie au sursis. La peine privative de liberté de 3 mois doit ainsi être exécutée et vient s’ajouter à la peine prononcée dans la présente cause. C’est ainsi une peine privative de liberté de 30 mois qui doit être infligée à l’appelant. Pour ce qui est de l’impact de cette peine sur les relations personnelles avec ses enfants, invoqué par l’appelant, cela n’appelle pas de réduction de peine. On rappelle que l’appelant dispose actuellement d’un droit de visite un dimanche sur deux (P. 112) et que les visites en détention peuvent permettre à l’appelant d’entretenir des relations personnelles avec ses enfants. Le cas échéant, il existe des organismes qui viennent en aide aux détenus pour organiser des visites de ce type.</w:t>
      </w:r>
    </w:p>
    <w:p>
      <w:r>
        <w:t>- 36 - Une peine pécuniaire doit également être prononcée pour les infractions de diffamation et d’injure. La diffamation, qui est l’infraction la plus grave, doit être sanctionnée par une peine de 45 jours-amende. Par l’effet du concours, la peine doit être augmentée de 15 jours-amende pour l’injure. La peine de 60 jours-amende doit ainsi être confirmée, tout comme le montant de 30 fr. le jour, qui est adapté à la situation financière de l’appelant. Les voies de fait qualifiée doivent pour leur part être sanctionnées par une amende. Le montant de 1'000 fr., ainsi que la peine privative de liberté de substitution de 33 jours en cas de non-paiement fautif sont adaptés au vu de la culpabilité de l’appelant. La mesure ambulatoire doit être confirmée. Celle-ci n’étant pas contestée, on peut renvoyer, par adoption de motifs, à la motivation des premiers juges, qui est claire et convaincante (art. 82 al. 4 CPP ; Jugement entrepris, pp. 45 et 46).</w:t>
      </w:r>
    </w:p>
    <w:p>
      <w:r>
        <w:rPr>
          <w:b/>
        </w:rPr>
        <w:t>E. 9.1</w:t>
      </w:r>
    </w:p>
    <w:p>
      <w:r>
        <w:t>L'appelant conteste l’indemnité pour tort moral allouée à B.Q.________. Il relève qu’elle a déclaré ne pas avoir subi de conséquences physiques ou psychiques en lien avec les viols et n’a pas eu besoin d’initier un suivi thérapeutique. Sa culpabilité serait également bien moins importante que celle retenue par les premiers juges dans la mesure où l’opposition de la plaignante n’était pas claire, que la relation de couple était toxique et qu’il était sous l’effet de l’alcool au moment des faits.</w:t>
      </w:r>
    </w:p>
    <w:p>
      <w:r>
        <w:rPr>
          <w:b/>
        </w:rPr>
        <w:t>E. 9.2</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de que l'éventuelle faute concomitante de la victime (ATF 132 II 117 consid. 2.2.2 ; ATF 125 III 412 consid. 2a). Sa</w:t>
      </w:r>
    </w:p>
    <w:p>
      <w:r>
        <w:t>- 37 -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 TF 6B_54/2021 du 26 septembre 2022 consid. 3.1).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 et s'élevaient exceptionnellement à 20'000 fr. (ATF 129 III 269 consid. 2a p. 274). L'examen de décisions cantonales montre que des montants plus importants sont désormais accordés. Depuis 1998, des montants de 15'000 à 20'000 fr. ont régulièrement été octroyés en cas de viol et d'actes d'ordre sexuel, et parfois même des montants plus élevés (TF 6P.1/2007 du 30 mars 2007 consid. 8.1 et les références citées).</w:t>
      </w:r>
    </w:p>
    <w:p>
      <w:r>
        <w:rPr>
          <w:b/>
        </w:rPr>
        <w:t>E. 9.3</w:t>
      </w:r>
    </w:p>
    <w:p>
      <w:r>
        <w:t>En l’espèce, bien que B.Q.________ ait expliqué n’avoir pas eu besoin d’initier un suivi thérapeutique à la suite des faits en cause au-delà d’un travail sur les énergies et qu’elle ait déclaré se sentir assez sereine, elle a tout de même rapporté avoir fait des cauchemars et avoir été très stressée après les faits. Elle a également déclaré qu’elle n’était pas tranquille lorsqu’elle se trouvait seule dans les temps qui ont suivi les faits et qu’elle avait dû effectuer un travail sur elle-même pour aller mieux (Jugement entrepris, p. 19 ; pp. 5 et 6 supra). En outre, l’atteinte subie par la plaignante est objectivement grave. Même si elle n’exprime pas de souffrances, il ne fait aucun doute que le climat de violences structurelles</w:t>
      </w:r>
    </w:p>
    <w:p>
      <w:r>
        <w:t>- 38 - qui a existé dans le couple et les deux viols dont elle a été victime ont eu un impact psychologique sur la plaignante. Dans ces circonstances, une indemnité pour tort moral doit lui être allouée. Le montant de 6'000 fr. retenu par les premiers juges est approprié au vu de l’atteinte subie.</w:t>
      </w:r>
    </w:p>
    <w:p>
      <w:r>
        <w:rPr>
          <w:b/>
        </w:rPr>
        <w:t>E. 10.1</w:t>
      </w:r>
    </w:p>
    <w:p>
      <w:r>
        <w:t>L'appelant conteste son expulsion. Il reproche au tribunal correctionnel de ne pas avoir examiné la question de l'applicabilité de l'annexe l de l'ALCP et relève qu'il est impossible de retenir un risque suffisamment grave pour l’ordre public ou social qui pourrait justifier son expulsion. Il invoque de façon subsidiaire l’application de la clause de rigueur de l’art. 66a al. 2 CP. Il relève que son cercle familial, en particulier sa sœur et ses enfants, se trouve en Suisse. Il soutient que les liens avec ses enfants se sont distendus contre sa volonté en raison de la séparation, de la présente procédure et d’obligations professionnelles, et vouloir désormais reprendre un contact plus fréquent. Son cercle social se trouverait également en Suisse. Il n’aurait plus d’attaches en France, hormis sa mère avec qui il aurait uniquement des contacts irréguliers.</w:t>
      </w:r>
    </w:p>
    <w:p>
      <w:r>
        <w:rPr>
          <w:b/>
        </w:rPr>
        <w:t>E. 10.2.1</w:t>
      </w:r>
    </w:p>
    <w:p>
      <w:r>
        <w:t>En application de l’art. 66a al. 1 let. h aCP, dont la nouvelle teneur en vigueur depuis le 1er juillet 2023 n’est pas plus favorable à l’appelant, le juge expulse de Suisse l’étranger qui est condamné pour viol (art. 190),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w:t>
      </w:r>
    </w:p>
    <w:p>
      <w:r>
        <w:t>- 39 -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w:t>
      </w:r>
    </w:p>
    <w:p>
      <w:r>
        <w:t>- 40 -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7B_117/2023 précité consid. 3.2.3 et les références citées).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6B_153/2020 précité consid. 1.4.1 ; TF 6B_1417/2019 du 13 mars 2020 consid. 2.1.3).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(ATF 144 II 1 consid. 6.1 ; ATF 135 I 143 consid. 1.3.2). Il n'y a pas atteinte à la vie familiale si l'on peut attendre des personnes concernées qu'elles</w:t>
      </w:r>
    </w:p>
    <w:p>
      <w:r>
        <w:t>- 41 -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et les références citées). La CourEDH a précisé que si des enfants sont concernés, leur intérêt supérieur doit également être pris en compte en tant qu'élément essentiel de la mise en balance des intérêts (arrêt CourEDH Usmanov c. Russie du 22 décembre 2020 [requête n° 43936/18], § 56 ; ATF 143 I 21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CEDH (arrêt CourEDH Sezen c. Pays-Bas du 31 janvier 2006 [requête n° 50252/99], § 49). La décision de renvoi ne peut être prise dans ce cas qu'après une mise en balance approfondie et complète des intérêts et uniquement sur la base de considérations ayant suffisamment de poids et de solidité (arrêt CourEDH Olsson c. Suède (n° 1) du 24 mars 1988 [requête n° 10465/83], § 72 ; TF 6B_1465/2020 du 18 novembre 2021 consid. 4.3.1 et les références citées).</w:t>
      </w:r>
    </w:p>
    <w:p>
      <w:r>
        <w:rPr>
          <w:b/>
        </w:rPr>
        <w:t>E. 10.2.2</w:t>
      </w:r>
    </w:p>
    <w:p>
      <w:r>
        <w:t>Par l’ALCP (Accord entre la Confédération suisse, d’une part, et la Communauté européenne et ses Etats membres, d’autre part, sur la libre circulation des personnes du 21 juin 1999 ; RS 0.142.112.681), la</w:t>
      </w:r>
    </w:p>
    <w:p>
      <w:r>
        <w:t>- 42 - Suisse a en substance accordé aux ressortissants des Etats membres de l'Union européenne un droit étendu et réciproque à l'exercice d'une activité lucrative (ATF 145 IV 364 consid. 3.4.1). En vertu de l'art. 5 par. 1 annexe I ALCP, les droits accordés sur la base de cet accord ne peuvent être limités que par des mesures justifiées par des raisons d'ordre public, de sécurité publique et de santé publique. Selon la jurisprudence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par exemple la protection de l'intégrité physique (ATF 145 IV 364 consid. 3.5.2; 145 IV 55 consid. 4.4). Le pronostic de bonne conduite et de resocialisation n'est pas déterminant en matière de droit des étrangers, où l'intérêt général de l'ordre et de la sécurité publics sont au premier plan (ATF 145 IV 364 consid. 3.5.2 et les références citées). Les mesures prises pour des raisons d'ordre public doivent respecter la CEDH (Convention européenne de sauvegarde des droits de l'homme et des libertés fondamentales du 4 novembre 1950 ; RS 0.101) et le principe de proportionnalité (ATF 145 IV 364 consid. 3.5.2).</w:t>
      </w:r>
    </w:p>
    <w:p>
      <w:r>
        <w:t>- 43 - Les restrictions à la libre circulation au sens de l'art. 5 par. 1 annexe I ALCP doivent ainsi être interprétées restrictivement; il ne peut être renvoyé simplement à l'ordre public indépendamment d'une perturbation de l'ordre social propre à toute infraction pénale (ATF 145 IV 364 consid. 3.5.2 ; TF 6B_922/2023 du 19 mars 2024 consid. 1.6.4 et les références citées) L'exigence de la mise en danger actuelle n'implique pas qu'il faut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plus elle est forte, moins les exigences pour admettre le risque de récidive sont élevées. Un trafic de stupéfiants constitue une violation grave de l'ordre public au sens de l'art. 5 par. 1 annexe I ALCP (ATF 145 IV 364 consid. 3.5.2 ; TF 6B_798/2022 du 29 mars 2023 consid. 2.3).</w:t>
      </w:r>
    </w:p>
    <w:p>
      <w:r>
        <w:rPr>
          <w:b/>
        </w:rPr>
        <w:t>E. 10.3</w:t>
      </w:r>
    </w:p>
    <w:p>
      <w:r>
        <w:t>En l’espèce, une condamnation pour viol constitue un cas d’expulsion obligatoire. L’intérêt public à l’expulsion de l’appelant est important. Celui-ci a été condamné pour des infractions à l’intégrité sexuelle et physique. Il se trouve en situation de récidive spéciale puisqu’il avait déjà été condamné le 28 avril 2021 pour voies de fait à réitérées reprises contre le conjoint, menaces qualifiées et lésions corporelles simples qualifiées. Cette condamnation et le sursis qui avait été accordé n’ont eu aucun effet sur l’appelant. Le suivi thérapeutique qui avait été imposé comme règle de conduite pour le sursis n’a pas non plus empêché la récidive. L’appelant n’arrive manifestement pas à contrôler ses émotions puisqu’à tout le moins trois de ses compagnes ont fait état de violences à leur égard. Selon les experts, le risque de récidive est faible à moyen s'agissant des violences verbales et physiques – il serait moyen à élevé dans une situation similaire à celle vécue avec la plaignante B.Q.________ –, et faible s’agissant de violences sexuelles. L’intérêt privé de l’appelant à demeurer en Suisse est quant à lui modéré. Ce dernier est venu une première fois en Suisse en 2011 et y a séjourné quelques années. Il est revenu en 2015 pour s'installer définitivement. Il dispose</w:t>
      </w:r>
    </w:p>
    <w:p>
      <w:r>
        <w:t>- 44 - d'un permis B. Il a eu une dizaine d'emplois différents en Suisse et a parfois bénéficié de l'aide des services sociaux. Il a actuellement un emploi en qualité de cuisinier. Il a des amis et une sœur en Suisse. Ses deux enfants, nés le [...] 2017 et le [...] 2018, vivent en Suisse. Cependant, il a grandi et effectué l’entier de sa scolarité en France. Il y a également travaillé durant plusieurs années. Il lui serait ainsi aisé de s’intégrer en France. En outre, l’exercice en France du droit de visite sur ses enfants apparaît envisageable, du moins pour les périodes de vacances. S’agissant de la violation de l’ALCP invoquée par l’appelant, le risque de récidive est établi, plus particulièrement s'agissant des violences verbales et physiques. Malgré un premier sursis et le traitement entrepris, l’appelant n'a pu empêcher la récidive. Il semble d'ailleurs peu sensible au sentiment de sécurité de ses compagnes successives et n’a fait montre d’aucune prise de conscience de la gravité de ses acte. Le pronostic sur son comportement futur est donc mauvais. En outre, en s’en prenant à l'intégrité physique et sexuelle, l’appelant a commis des infractions qui portent objectivement une atteinte grave à la sécurité et l'ordre publics suisses. Le fait qu'il n'ait pas saisi l'occasion de tirer un enseignement de sa précédente condamnation et du traitement thérapeutique mis en place inquiète. Au regard de ces éléments, il existe une probabilité suffisante, au sens de l’art. 5 par. 1 annexe 1 ALCP, que l’appelant perturbe à nouveau la sécurité et l'ordre publics en Suisse. Partant, l'expulsion pour une durée de cinq ans doit être confirmée.</w:t>
      </w:r>
    </w:p>
    <w:p>
      <w:r>
        <w:rPr>
          <w:b/>
        </w:rPr>
        <w:t>E. 11</w:t>
      </w:r>
    </w:p>
    <w:p>
      <w:r>
        <w:t>Au vu de ce qui précède, l’appel doit être rejeté et le jugement entrepris confirmé. Me Lionel Ducret, défenseur d’office de A.Q.________, a produit une liste d’opérations faisant état de 26h30 d’activité d’avocat breveté et 0h10 d’activité d’avocat-stagiaire. Il fait notamment état de 17h d’activité pour la rédaction de la déclaration d’appel, ce qui est excessif, la cause ne soulevant pas de questions d’une grande complexité tant au niveau juridique que factuel. Ces opérations seront réduites à 7h00. Il sera en revanche ajouté 1h30 d’activité pour les débats d’appel. Ainsi, les</w:t>
      </w:r>
    </w:p>
    <w:p>
      <w:r>
        <w:t>- 45 - honoraires s’élèvent à 3’258 fr. 35, correspondant à 18h d’activité au tarif horaire de 180 fr. et 0h10 d’activité au tarif horaire de 110 fr. (art. 2 al. 1 let. a et b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65 fr. 20, une vacation forfaitaire de 120 fr. (art. 3bis al. 3 RAJ), ainsi que la TVA au taux de 8,1 % sur le tout, par 278 fr. 90. L’indemnité totale s’élève donc à 3'722 fr. 45. Me Robin Chappaz, conseil juridique gratuit de B.Q.________, a produit une liste d’opérations faisant état de 7h51 d’activité. Il y a uniquement lieu de réduire le total de 1h afin de tenir compte de la durée effective de l’audience d’appel. Les honoraires s’élèvent ainsi à 1’233 fr., correspondant à 6h51 d’activité au tarif horaire de 180 francs. Viennent s’y ajouter les débours forfaitaires, par 24 fr. 65, une vacation forfaitaire de 120 fr. et la TVA au taux de 8,1 % sur le tout, par 111 fr. 60. L’indemnité s’élève ainsi à 1'489 fr. 25 au total. Les frais de procédure d’appel s’élèvent à 9'541 fr. 70. Ils sont constitués de l’émolument d’audience, par 700 fr. (art. 21 al. 2 TFIP), de l’émolument de jugement, par 3’630 fr. (art. 21 al. 1 TFIP), et des indemnités d’office arrêtées ci-dessus. Ils seront mis à la charge de A.Q.________ qui succombe (art. 428 al. 1 CPP). A.Q.________ sera tenu de rembourser à l’Etat de Vaud le montant des indemnités alloués à son défenseur d’office ainsi qu’au conseil juridique gratuit de B.Q.________ dès que sa situation financière le permettra (art. 135 al. 4 CPP).</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