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PE22.017326 vom 20. September 2023</w:t>
      </w:r>
    </w:p>
    <w:p>
      <w:r>
        <w:t>VD Tribunal cantonal, 2023-09-20, FR</w:t>
      </w:r>
    </w:p>
    <w:p>
      <w:r>
        <w:rPr>
          <w:b/>
        </w:rPr>
        <w:t xml:space="preserve">Quelle: </w:t>
      </w:r>
      <w:r>
        <w:t>https://mcp.opencaselaw.ch/entscheid/vd_gerichte_PE22.017326</w:t>
      </w:r>
    </w:p>
    <w:p>
      <w:r>
        <w:t>FR: VD_GERICHTE PE22.017326 du 20 septembre 2023</w:t>
      </w:r>
    </w:p>
    <w:p>
      <w:r>
        <w:t>IT: VD_GERICHTE PE22.017326 del 20 settembre 2023</w:t>
      </w:r>
    </w:p>
    <w:p>
      <w:pPr>
        <w:pStyle w:val="Heading2"/>
      </w:pPr>
      <w:r>
        <w:t>Erwägungen</w:t>
      </w:r>
    </w:p>
    <w:p>
      <w:r>
        <w:rPr>
          <w:b/>
        </w:rPr>
        <w:t>E. 5.1</w:t>
      </w:r>
    </w:p>
    <w:p>
      <w:r>
        <w:t>Fondé sur la prémisse de son acquittement des chefs de prévention de brigandage qualifié et d’infractions à la loi fédérale sur les étrangers et l’intégration, ainsi que sur son absence d’antécédents, l’appelant conteste tant la nature que la quotité de la peine privative de liberté prononcée par les premiers juges. Il conclut au prononcé d’une peine pécuniaire assortie du sursis.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- 24 -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6B_631/2021 du 7 février 2022 consid. 1.1).</w:t>
      </w:r>
    </w:p>
    <w:p>
      <w:r>
        <w:rPr>
          <w:b/>
        </w:rPr>
        <w:t>E. 5.2.2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w:t>
      </w:r>
    </w:p>
    <w:p>
      <w:r>
        <w:t>- 25 - consid. 2.1 ; TF 6B_529/2019 du 5 juin 2019 consid. 3.1 ; TF 6B_1227/2015 du 29 juillet 2016 consid. 1.2.1).</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w:t>
      </w:r>
    </w:p>
    <w:p>
      <w:r>
        <w:rPr>
          <w:b/>
        </w:rPr>
        <w:t>E. 5.3</w:t>
      </w:r>
    </w:p>
    <w:p>
      <w:r>
        <w:t>En l’espèce, T.________ s’est rendu coupable de brigandage qualifié et d’entrée illégale. Les premiers juges ont considéré à juste titre que la culpabilité de l’appelant était importante et la Cour de céans fait sienne leur appréciation. A charge, il faut tenir compte de la gravité du</w:t>
      </w:r>
    </w:p>
    <w:p>
      <w:r>
        <w:t>- 26 - brigandage auquel il a pris part eu égard aux sérieuses blessures qui ont été infligées à X.________ pour la maigre somme de 20 francs. Son attitude, consistant à minimiser les faits qui lui sont reprochés et la légèreté avec laquelle il s’en est pris à l’intégrité physique d’une connaissance, laisse penser que T.________ banalise la violence. C’est donc à juste titre que les premiers juges ont retenu que l’appelant avait agi pour des motifs futiles et par appât du gain. A décharge, on tiendra compte de la situation personnelle précaire de l’appelant. Son absence d’antécédents a un effet neutre sur la peine. L’infraction la plus grave est le brigandage qualifié, qui justifie à elle seule le prononcé d’une peine privative de liberté de 30 mois. Les effets du concours conduisent à l’augmentation de cette peine de base d’un mois pour réprimer l’infraction à la loi fédérale sur les étrangers et l’intégration. En définitive, la peine privative de liberté qui devrait sanctionner les agissements du prévenu devrait être arrêtée à 31 mois. Néanmoins, dans la mesure où la quotité de la sanction prononcée par le Tribunal correctionnel ne peut pas être augmentée sous peine de violer le principe de l’interdiction de la reformatio in pejus, la peine privative de liberté prononcée par les premiers juges doit être confirmée. La quotité de cette peine est incompatible avec l’octroi d’un sursis complet (art. 42 CP), mais permet en revanche l’octroi d’un sursis partiel pour les motifs pertinents retenus par les premiers juges. Au vu de la gravité des faits reprochés à l’appelant et de l’absence de remords manifestée, la durée du délai d’épreuve doit être portée au maximum légal de cinq ans, et la partie ferme à exécuter doit être fixée à treize mois.</w:t>
      </w:r>
    </w:p>
    <w:p>
      <w:r>
        <w:rPr>
          <w:b/>
        </w:rPr>
        <w:t>E. 6.1</w:t>
      </w:r>
    </w:p>
    <w:p>
      <w:r>
        <w:t>L’appelant, qui plaide notamment sa libération du chef de prévention de brigandage qualifié, conteste l’expulsion prononcée à son encontre.</w:t>
      </w:r>
    </w:p>
    <w:p>
      <w:r>
        <w:rPr>
          <w:b/>
        </w:rPr>
        <w:t>E. 6.2.1</w:t>
      </w:r>
    </w:p>
    <w:p>
      <w:r>
        <w:t>Aux termes de l'art. 66a al. 1 let. c CP, le juge expulse de Suisse l'étranger qui est notamment condamné pour brigandage (art. 140</w:t>
      </w:r>
    </w:p>
    <w:p>
      <w:r>
        <w:t>- 27 - CP) pour une durée de cinq à quinze ans, quelle que soit la quotité de la peine prononcée à son encontre.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rPr>
          <w:b/>
        </w:rPr>
        <w:t>E. 6.2.2</w:t>
      </w:r>
    </w:p>
    <w:p>
      <w:r>
        <w:t>Selon l'art. 8 § 1 CEDH, toute personne a droit au respect de sa vie privée et familiale. Ce droit n'est toutefois pas absolu. Une ingérence dans son exercice est possible, selon l'art. 8 § 2 CEDH, pour autant qu'elle</w:t>
      </w:r>
    </w:p>
    <w:p>
      <w:r>
        <w:t>- 28 -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 principe une bonne intégration de l'étranger (ATF 144 I 266 consid. 3.9 ; TF 6B_1174/2021 précité).</w:t>
      </w:r>
    </w:p>
    <w:p>
      <w:r>
        <w:rPr>
          <w:b/>
        </w:rPr>
        <w:t>E. 6.3</w:t>
      </w:r>
    </w:p>
    <w:p>
      <w:r>
        <w:t>En l’espèce, la condamnation de l’appelant pour brigandage qualifié étant confirmée, celui-ci remplit les conditions d’une expulsion obligatoire, sous réserve d’une application de l’art. 66a al. 2 CP.</w:t>
      </w:r>
    </w:p>
    <w:p>
      <w:r>
        <w:t>- 29 - L’appelant a grandi en [...], où vit sa seule famille. Il n’est arrivé en Suisse qu’en juillet 2022. Il n’est pas intégré dans ce pays, avec lequel il n’a aucune attache. Il n’est au bénéfice d’aucun titre de séjour et n’exerce aucune activité lucrative. Par ailleurs, sa demande d’asile ayant été rejetée, il n’a aucune perspective d’intégration en Suisse. Il a expliqué souhaiter rester en Suisse afin de soigner une main blessée. Or, il peut bénéficier de soins dans son pays d’origine. Il ne fait d’ailleurs valoir aucun risque particulier à y retourner, de sorte que son expulsion ne le placera manifestement pas dans une situation personnelle grave. En effet, rien ne permet de supposer qu’il rencontrerait des difficultés à s’insérer socialement et professionnellement en [...]. L’expulsion de l’appelant constitue donc une mesure proportionnée compte tenu de son absence d’attaches particulières avec la Suisse, de la gravité des infractions retenues et de la dangerosité qu’il représente. L’appel de T.________ doit ainsi être rejeté sur ce point et son expulsion du territoire suisse pour huit ans, ainsi que l’inscription de celle- ci au Système d’information Schengen (SIS), confirmée.</w:t>
      </w:r>
    </w:p>
    <w:p>
      <w:r>
        <w:rPr>
          <w:b/>
        </w:rPr>
        <w:t>E. 7.1</w:t>
      </w:r>
    </w:p>
    <w:p>
      <w:r>
        <w:t>Se fondant sur la prémisse qu’il serait acquitté, l’appelant requiert l’allocation d’une indemnité de 74'400 fr. pour détention injustifiée au sens des art. 429 al. 1 let. c CPP et 431 al. 1 CPP. Il sollicite également le versement d’une indemnité de 18'600 fr. à titre de réparation du tort moral pour les jours de détention subis dans des conditions illicites. A cet égard, il renvoie à son écriture du 19 septembre 2023 (P. 86). En ce qui concerne les conditions illicites, il fait en particulier valoir que les premiers juges auraient déduit une surface insuffisante pour les sanitaires, à savoir 1.5 m2 au lieu des 2 m2 requis par la jurisprudence. De plus, ils auraient, à tort, arrêté leur calcul au 14 juin 2023, date du rapport de la direction du Bois-Mermet, alors que la situation aurait perduré jusqu'à sa libération le 25 septembre 2023.</w:t>
      </w:r>
    </w:p>
    <w:p>
      <w:r>
        <w:rPr>
          <w:b/>
        </w:rPr>
        <w:t>E. 7.2</w:t>
      </w:r>
    </w:p>
    <w:p>
      <w:r>
        <w:t>- 30 -</w:t>
      </w:r>
    </w:p>
    <w:p>
      <w:r>
        <w:rPr>
          <w:b/>
        </w:rPr>
        <w:t>E. 7.2.1</w:t>
      </w:r>
    </w:p>
    <w:p>
      <w:r>
        <w:t>Pour que les conditions matérielles de détention atteignent un niveau d’humiliation ou d’avilissement suffisant pour emporter une violation de l’art. 3 CEDH (Convention de sauvegarde des droits de l’homme et des libertés fondamentales du 4 novembre 1950 ; RS 0.101),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m2, les conditions de détention ne sont pas illicites.</w:t>
      </w:r>
    </w:p>
    <w:p>
      <w:r>
        <w:rPr>
          <w:b/>
        </w:rPr>
        <w:t>E. 7.2.2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w:t>
      </w:r>
    </w:p>
    <w:p>
      <w:r>
        <w:t>- 31 -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w:t>
      </w:r>
    </w:p>
    <w:p>
      <w:r>
        <w:t>- 32 -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91ème jour et justifie depuis lors une réduction.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w:t>
      </w:r>
    </w:p>
    <w:p>
      <w:r>
        <w:rPr>
          <w:b/>
        </w:rPr>
        <w:t>E. 7.3</w:t>
      </w:r>
    </w:p>
    <w:p>
      <w:r>
        <w:t>Compte tenu de la confirmation de sa condamnation, il n’y a pas lieu de d’allouer à T.________ une indemnité pour tort moral en raison d’une détention injustifiée. Quant à la détention dans des conditions illicites, elle doit être compensée en nature par une réduction de la peine, et non par l’allocation d’une indemnité. En l’espèce, T.________ a été détenu à la Prison du Bois-Mermet dès le 22 novembre 2022. Le tribunal correctionnel a ordonné sa libération immédiate, dans son jugement du 20 septembre 2023, qui a été lu en audience publique le 25 septembre 2023. Du 22 novembre 2022 au 14 juin 2023, l’appelant a été détenu dans la cellule 256. La surface nette de cette cellule est de 9.34 m2, soit – après déduction de l’espace des sanitaires (cf. supra consid. 7.2.2) – une surface individuelle nette, de ([9.34 - 1.5] : 2) 3.92 m2. Puis, entre le 14 juin et le 25 septembre 2023, il a occupé la cellule 156 dont la surface nette est de 9.51 m2. En retranchant 1.5 m2 pour les sanitaires, la surface individuelle disponible pour chaque détenu est de ([9.51 - 1.5] : 2) 4.005 m2.</w:t>
      </w:r>
    </w:p>
    <w:p>
      <w:r>
        <w:t>- 33 - Il s’ensuit que c’est à bon droit que les premiers juges ont considéré que les conditions de détention n'avaient été illicites que jusqu'au 14 juin 2023, date à laquelle l’appelant avait changé de cellule, laquelle offrait, après déduction des sanitaires, une surface individuelle de plus de 4 m2. La date du 14 juin 2023 correspondait au transfert de l’appelant dans la cellule 156 et non pas à celle de la reddition du rapport de l’établissement pénitentiaire – qui a été établi le 11 juillet 2023 (P. 72). De plus, aucun des arrêts cités par l'appelant n’expose qu'il conviendrait de déduire 2 m2 pour les installations sanitaires. La déduction de 1.5 m2 est ainsi conforme à la jurisprudence précitée (cf. supra consid. 7.2.2). Dans la mesure où l’appelant n’a pas été incarcéré dans des conditions illicites après le 14 juin 2023, il ne peut se prévaloir d’aucun tort moral qui nécessiterait une réparation sous quelque forme que ce soit.</w:t>
      </w:r>
    </w:p>
    <w:p>
      <w:r>
        <w:rPr>
          <w:b/>
        </w:rPr>
        <w:t>E. 8</w:t>
      </w:r>
    </w:p>
    <w:p>
      <w:r>
        <w:t>Il résulte de ce qui précède que l’appel doit être partiellement admis en ce sens que T.________ est libéré du chef de prévention de séjour illégal.</w:t>
      </w:r>
    </w:p>
    <w:p>
      <w:r>
        <w:rPr>
          <w:b/>
        </w:rPr>
        <w:t>E. 8.1</w:t>
      </w:r>
    </w:p>
    <w:p>
      <w:r>
        <w:t>Le défenseur d’office de T.________, Me Elodie Gallarotti, a produit une liste d’opérations faisant état de 6.27 heures d’activité d’avocate au tarif horaire de 180 fr., ainsi que d’une vacation. Il n’y a pas lieu de s’écarter de cette liste d’opérations, sous réserve de la durée de l’audience, estimée à trois heures par l’avocate, qui sera réduite à 45 minutes pour tenir compte du temps effectif des débats d’appel. L’indemnité de défenseur d’office de Me Elodie Gallarotti pour la procédure d’appel sera par conséquent fixée à 1ʹ128 fr. 60 (6.27h x 180 fr.), plus des débours forfaitaires à concurrence de 2 % (art. 3bis al. 1 RAJ applicable par renvoi de l’art. 26b TFIP [Tarif des frais de procédure et indemnités en matière pénale du 28 septembre 2010 ; BLV 312.03.1]), par 22 fr. 57, et la TVA à 7,7 %, par 88 fr. 64, soit à un total de 1’239 fr. 80 pour les opérations effectuées jusqu’au 31 décembre 2023, et à 919 fr. 80 (5.11h x 180 fr.), plus les débours forfaitaires à concurrence de 2 %, par 18 fr. 40, une vacation, par 120 fr., et la TVA à 8,1 %, par 85 fr. 71, soit à</w:t>
      </w:r>
    </w:p>
    <w:p>
      <w:r>
        <w:t>- 34 - un total de 1ʹ143 fr. 90, pour les opérations effectuées depuis le 1er janvier 2024. Au total, l’indemnité due sera donc fixée à 2'383 fr. 70 (1ʹ239 fr. 80 + 1ʹ143 fr. 90), TVA et débours inclus.</w:t>
      </w:r>
    </w:p>
    <w:p>
      <w:r>
        <w:rPr>
          <w:b/>
        </w:rPr>
        <w:t>E. 8.2</w:t>
      </w:r>
    </w:p>
    <w:p>
      <w:r>
        <w:t>Vu l’issue de la cause, les frais de la procédure d’appel, par 5'533 fr. 70, constitués en l’espèce de l'émolument de jugement, par 2’750 fr. (art. 21 al. 1 et 2 TFIP), ainsi que de l’indemnité allouée au défenseur d’office, par 2'383 fr. 70, seront mis par quatre cinquièmes, soit par 4’427 fr. en chiffres arrondis, à la charge de T.________, qui succombe dans une très large mesure, le solde étant laissé à la charge de l’Etat (art. 428 al. 1 CPP). T.________ sera tenu de rembourser à l’Etat les quatre cinquièmes de l’indemnité allouée à son défenseur d’office ci-dessus, soit 1'907 fr. en chiffres arrondis, lorsque sa situation financière le permettra (art. 135 al. 4 let. a CPP).</w:t>
      </w:r>
    </w:p>
    <w:p>
      <w:r>
        <w:rPr>
          <w:b/>
        </w:rPr>
        <w:t>E. 9</w:t>
      </w:r>
    </w:p>
    <w:p>
      <w:r>
        <w:t>Il convient en dernier lieu de relever que le dispositif du jugement notifié le 2 février 2024 est erroné. Il sera dès lors rectifié d’office aux chiffres I, II, II.IX, II.X, IV et V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