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PE22.017179 vom 15. Dezember 2021</w:t>
      </w:r>
    </w:p>
    <w:p>
      <w:r>
        <w:t>VD Tribunal cantonal, 2021-12-15, FR</w:t>
      </w:r>
    </w:p>
    <w:p>
      <w:r>
        <w:rPr>
          <w:b/>
        </w:rPr>
        <w:t xml:space="preserve">Quelle: </w:t>
      </w:r>
      <w:r>
        <w:t>https://mcp.opencaselaw.ch/entscheid/vd_gerichte_PE22.017179</w:t>
      </w:r>
    </w:p>
    <w:p>
      <w:r>
        <w:t>FR: VD_GERICHTE PE22.017179 du 15 décembre 2021</w:t>
      </w:r>
    </w:p>
    <w:p>
      <w:r>
        <w:t>IT: VD_GERICHTE PE22.017179 del 15 dicembre 2021</w:t>
      </w:r>
    </w:p>
    <w:p>
      <w:pPr>
        <w:pStyle w:val="Heading2"/>
      </w:pPr>
      <w:r>
        <w:t>Erwägungen</w:t>
      </w:r>
    </w:p>
    <w:p>
      <w:r>
        <w:rPr>
          <w:b/>
        </w:rPr>
        <w:t>E. 2</w:t>
      </w:r>
    </w:p>
    <w:p>
      <w:r>
        <w:t>Il convient en premier lieu de constater que le requérant n’a pas fait opposition à l’ordonnance pénale rendue à son encontre par la Préfecture de Lausanne le 15 décembre 2021. Dans le délai d’opposition, il a cependant demandé un arrangement de paiement et s’est acquitté de l’amende prononcée. Ce comportement doit être interprété comme un acquiescement à l’ordonnance pénale, sur lequel il ne saurait revenir par l’introduction d’une demande de révision. Il est manifeste qu’une telle demande a été présentée uniquement en raison des craintes du requérant liées à l’ouverture, par le SAN, d’une procédure tendant au retrait de son permis de conduire. Dans cette mesure, la demande de révision apparaît irrecevable, le prénommé n’ayant pas fait usage de son droit de former opposition à l’ordonnance, alors que cette voie lui aurait permis de faire valoir les circonstances dont il se prévaut dans le cadre de la présente procédure, étant relevé qu’il aurait assurément pu obtenir les photographies dont il se prévaut aujourd’hui à ce moment-là déjà. Le système serait compromis si, après l’échéance du délai d'opposition, l’intéressé pouvait revenir sur l'acquiescement ainsi donné et demander selon son bon vouloir la révision de l'ordonnance pénale pour des faits qu'il aurait déjà pu faire valoir dans une procédure ordinaire en manifestant son opposition. Au demeurant, on ne peut rien tirer des photographies produites par X.________ à l’appui de sa demande de révision, le fait que le véhicule accidenté porte des traces « gris foncé, ainsi qu’une trace rouge » – alors que son véhicule est de couleur gris clair – n’apparaissant pas déterminant, dès lors que « les marques rouges » sont manifestement des marques effectuées après coup par l’expert pour délimiter la zone accidentée et que la nuance de gris n’est pas significative. On rappellera à cet égard qu’il ressort des déclarations des parties (cf. rapport de police du 5 octobre 2021) que les deux conducteurs ont admis qu’il y avait eu un</w:t>
      </w:r>
    </w:p>
    <w:p>
      <w:r>
        <w:t>- 7 - choc entre l’avant droit de la Mercedes blanche figurant sur les photographies et l’arrière gauche de la voiture conduite par X.________. Il s’ensuit que la demande de révision présentée par X.________ doit donc être rejetée dans la mesure où elle est recevable.</w:t>
      </w:r>
    </w:p>
    <w:p>
      <w:r>
        <w:rPr>
          <w:b/>
        </w:rPr>
        <w:t>E. 3</w:t>
      </w:r>
    </w:p>
    <w:p>
      <w:r>
        <w:t>Vu l’issue de la cause, les frais de la procédure de révision, par 550 fr. (art. 21 et 22 TFIP),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