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PE22.017170 vom 3. April 2023</w:t>
      </w:r>
    </w:p>
    <w:p>
      <w:r>
        <w:t>VD Tribunal cantonal, 2023-04-03, FR</w:t>
      </w:r>
    </w:p>
    <w:p>
      <w:r>
        <w:rPr>
          <w:b/>
        </w:rPr>
        <w:t xml:space="preserve">Quelle: </w:t>
      </w:r>
      <w:r>
        <w:t>https://mcp.opencaselaw.ch/entscheid/vd_gerichte_PE22.017170</w:t>
      </w:r>
    </w:p>
    <w:p>
      <w:r>
        <w:t>FR: VD_GERICHTE PE22.017170 du 3 avril 2023</w:t>
      </w:r>
    </w:p>
    <w:p>
      <w:r>
        <w:t>IT: VD_GERICHTE PE22.017170 del 3 aprile 2023</w:t>
      </w:r>
    </w:p>
    <w:p>
      <w:pPr>
        <w:pStyle w:val="Heading2"/>
      </w:pPr>
      <w:r>
        <w:t>Erwägungen</w:t>
      </w:r>
    </w:p>
    <w:p>
      <w:r>
        <w:rPr>
          <w:b/>
        </w:rPr>
        <w:t>E. 1.1</w:t>
      </w:r>
    </w:p>
    <w:p>
      <w:r>
        <w:t>Selon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Conformément à l'art. 58 al. 1 CPP, lorsqu'une partie entend demander la récusation d'une personne qui exerce une fonction au sein d'une autorité pénale, elle doit présenter sans délai à la direction de la procédure une demande en ce sens, dès qu'elle a connaissance du motif de récusation, c'est-à-dire dans les six à sept jours qui suivent la connaissance de la cause de récusation, sous peine de déchéance (ATF 140 I 271 consid. 8.4.3 et les arrêts cités ; TF 1B_117/2022 du 18 mai 2022 consid. 3.1).</w:t>
      </w:r>
    </w:p>
    <w:p>
      <w:r>
        <w:rPr>
          <w:b/>
        </w:rPr>
        <w:t>E. 1.3</w:t>
      </w:r>
    </w:p>
    <w:p>
      <w:r>
        <w:t>En l’espèce, X.________ fonde sa demande de récusation sur des motifs liés à la personne du procureur en charge de l’instruction ouverte contre lui. Il a eu connaissance de l’identité de ce procureur à réception du mandat de comparution du 15 février 2023, soit le 22 février 2023 selon le relevé Track &amp; Trace y relatif. Déposée le 2 mars 2023, sa demande l’a donc été en temps utile. Dès lors qu’elle est dirigée contre un procureur, soit un magistrat du Ministère public, la Chambre des recours pénale du Tribunal cantonal (cf. art. 13 al. 1 LVCPP [Loi d’introduction du Code de procédure pénale suisse du 19 mai 2009 ; BLV 312.01]) est par ailleurs compétente pour statuer.</w:t>
      </w:r>
    </w:p>
    <w:p>
      <w:r>
        <w:rPr>
          <w:b/>
        </w:rPr>
        <w:t>E. 2</w:t>
      </w:r>
    </w:p>
    <w:p>
      <w:r>
        <w:t>- 6 -</w:t>
      </w:r>
    </w:p>
    <w:p>
      <w:r>
        <w:rPr>
          <w:b/>
        </w:rPr>
        <w:t>E. 2.1</w:t>
      </w:r>
    </w:p>
    <w:p>
      <w:r>
        <w:t>Un magistrat est récusable pour l'un des motifs prévus aux art. 56 let. a à e CPP. Un magistrat est également récusable selon l'art. 56 let. f CPP, « lorsque d'autres motifs, notamment un rapport d'amitié étroit ou d'inimitié avec une partie ou son conseil juridique,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Cst. (Constitution fédérale de la Confédération suisse du 18 avril 1999 ; RS 101) et 6 CEDH (Convention de sauvegarde des droits de l’homme et des libertés fondamentales du 4 novembre 1950 ; RS 0.101)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1B_25/2022 du 18 mai 2022 consid. 2.2). L'impartialité subjective d'un magistrat se présume jusqu'à preuve du contraire (ATF 136 III 605 consid. 3.2.1). Selon la jurisprudence constante du Tribunal fédéral, l’affiliation à un parti politique ou l’appartenance à des clubs de service ne suffit pas pour conclure à une prévention de la part d’un magistrat, qui, une fois élu ou nommé, est capable de prendre le recul nécessaire par rapport à son parti politique et son association pour se prononcer de manière objective sur le litige qui divise les parties (TF 1B_440/2020 du 1er octobre 2020 consid. 4 ; cf. ATF 129 III 445 consid. 4.2.2.2 ; ATF 114 Ia 278 consid. 1 et les arrêts cités, SJ 1989 207 ; TF 6B_257/2019 du 25 février 2019 consid. 5). Le fait qu’un magistrat ait précédemment représenté des intérêts opposés à la partie en cause ne constitue pas non plus un motif de récusation (ATF 138 I 1 consid. 2.3).</w:t>
      </w:r>
    </w:p>
    <w:p>
      <w:r>
        <w:t>- 7 - D'après la jurisprudence, une faute de procédure, voire une fausse application du droit matériel, ne suffit pas à elle seule pour donner une apparence de prévention. Il n'en va autrement que si le magistrat a commis des erreurs grossières ou répétées constituant une grave violation des devoirs de sa charge (ATF 143 IV 69 consid. 3.2; ATF 141 IV 178 consid. 3.2.3).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De telles décisions doivent le cas échéant être remises en cause par les voies de droit idoines, soit le recours selon l’art. 393 CPP, pour autant qu’il soit recevable (cf. art. 393 al. 1 let. b in fine CPP), ou l’appel au sens de l’art. 398 CPP.</w:t>
      </w:r>
    </w:p>
    <w:p>
      <w:r>
        <w:rPr>
          <w:b/>
        </w:rPr>
        <w:t>E. 2.3</w:t>
      </w:r>
    </w:p>
    <w:p>
      <w:r>
        <w:t>En l’espèce, le requérant ne fait valoir aucun motif objectif de nature à rendre le procureur suspect de prévention. En particulier, le fait que ce dernier ait été le collaborateur de [...], respectivement ait œuvré dans le cadre du processus ayant abouti à l’adoption du nouvel art. 261bis CP ne permet pas de conclure que ce magistrat ne sera pas en mesure de conduire avec toute l’impartialité requise une instruction en lien avec cette infraction. Hormis ses impressions et sentiments personnels, le requérant ne relève d’ailleurs aucune circonstance particulière qui permettrait d’en douter. Le fait, allégué dans un second temps, que le procureur ait initialement refusé de renvoyer une audience en dépit de l’indisponibilité de son conseil qui avait été consulté après la réception de la citation à comparaître correspond à une pratique tout à fait usuelle et ne constitue dès lors nullement une faute de procédure et encore moins un motif de récusation. Enfin, s’agissant des contestations émises au sujet de la perquisition ordonnée au terme de la première audition du prévenu, la voie de la récusation ne doit pas servir à contourner les voies de droit usuelles dont le requérant dispose pour le cas échéant contester cette mesure d’instruction.</w:t>
      </w:r>
    </w:p>
    <w:p>
      <w:r>
        <w:t>- 8 - Partant, on ne discerne aucune apparence objective de prévention de la part du Procureur Y.________.</w:t>
      </w:r>
    </w:p>
    <w:p>
      <w:r>
        <w:rPr>
          <w:b/>
        </w:rPr>
        <w:t>E. 3</w:t>
      </w:r>
    </w:p>
    <w:p>
      <w:r>
        <w:t>Il s’ensuit que la demande de récusation présentée par X.________ doit être rejetée. Il n’y a dès lors pas lieu d’examiner si des actes de procédure devraient être annulés en application de l’art. 60 CPP. Les frais de la présente procédure, constitués du seul émolument de décision, par 770 fr. (cf. art. 20 al. 1 TFIP [Tarif des frais de procédure et indemnités en matière pénale du 28 septembre 2010 ; BLV 312.03.1]), seront mis à la charge du requérant, conformément à l’art. 59 al. 4, 2e phrase, CPP.</w:t>
      </w:r>
    </w:p>
    <w:p>
      <w:r>
        <w:t>- 9 - Par ces motifs, la Chambre des recours pénale prononce : I. La demande de récusation déposée le 3 mars 2023 par X.________ à l’encontre du Procureur Y.________ est rejetée. II. Les frais de décision, par 770 fr. (sept cent septante francs), sont mis à la charge de X.________. III. La décision est exécutoire. La présidente : La greffière : Du La présente décision, dont la rédaction a été approuvée à huis clos, est notifiée, par l'envoi d'une copie complète, à : - Me Jean-Luc Addor, avocat (pour X.________), - Ministère public central, et communiquée à : - M. le Procureur du Ministère public central, division affaires spéciales, par l’envoi de photocopies. La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