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PE22.016844 vom 7. Juni 2024</w:t>
      </w:r>
    </w:p>
    <w:p>
      <w:r>
        <w:t>VD Tribunal cantonal, 2024-06-07, FR</w:t>
      </w:r>
    </w:p>
    <w:p>
      <w:r>
        <w:rPr>
          <w:b/>
        </w:rPr>
        <w:t xml:space="preserve">Quelle: </w:t>
      </w:r>
      <w:r>
        <w:t>https://mcp.opencaselaw.ch/entscheid/vd_gerichte_PE22.016844</w:t>
      </w:r>
    </w:p>
    <w:p>
      <w:r>
        <w:t>FR: VD_GERICHTE PE22.016844 du 7 juin 2024</w:t>
      </w:r>
    </w:p>
    <w:p>
      <w:r>
        <w:t>IT: VD_GERICHTE PE22.016844 del 7 giugno 2024</w:t>
      </w:r>
    </w:p>
    <w:p>
      <w:pPr>
        <w:pStyle w:val="Heading2"/>
      </w:pPr>
      <w:r>
        <w:t>Erwägungen</w:t>
      </w:r>
    </w:p>
    <w:p>
      <w:r>
        <w:rPr>
          <w:b/>
        </w:rPr>
        <w:t>E. 10</w:t>
      </w:r>
    </w:p>
    <w:p>
      <w:r>
        <w:t>mois pour la mise en danger de la vie d’autrui, de 5 mois pour la contrainte, de 2 mois pour la tentative de contrainte, de 12 mois pour la contrainte sexuelle et de 12 mois pour la tentative de viol. C’est ainsi une peine privative de liberté de 6 ans qui doit être prononcée à l’encontre de l’appelant. Le sursis ne peut entrer en considération au vu de la quotité de la peine prononcée. La détention pour des motifs de sûreté ainsi que l’exécution anticipée de peine seront déduites de la peine prononcée. La déduction de deux jours supplémentaires pour la détention dans des conditions illicites, qui n’est pas contestée, peut être confirmée. L’appelant a commis des infractions durant le délai d’épreuve du sursis accordé le 25 février 2021 par le Ministère public du Nord vaudois. Cette condamnation portant en partie sur des faits similaires à la présente cause, l’appelant ayant notamment été condamné pour des violences à l’encontre de son ancienne compagne, et le risque de récidive étant indéniablement présent, ce sursis doit être révoqué. La peine de 30 jours-amende à 30 fr. qui avait été suspendue devra ainsi être exécutée. Les experts ont retenu que les troubles dont souffre l’appelant, qui sont graves, avaient influencé ses actes. Ils ont préconisé la mise en place d’un suivi psychiatrique, addictologique et psychothérapeutique</w:t>
      </w:r>
    </w:p>
    <w:p>
      <w:r>
        <w:t>- 52 - ambulatoire, intégrant à la fois un travail sur le maintien de l’abstinence aux produits, un travail sur la gestion émotionnelle et relationnelle, l’impulsivité et le rapport à la violence, ainsi qu’une médication. Selon les experts, la stabilisation des troubles par un traitement est de nature à diminuer le risque de récidive d’actes similaires, mais devrait être associée à un accompagnement socio-éducatif (P. 45). Il convient ainsi de confirmer le traitement ambulatoire ordonné à l’encontre de l’appelant, sous la forme d’un suivi psychiatrique, addictologie et psychothérapeutique, ainsi que d’un suivi socio-éducatif. L’appelant sera maintenu en exécution anticipée de peine afin de garantir l’exécution du solde de la peine et en raison du risque de récidive d’actes violents qu’il présente. A cet égard, le dispositif notifié aux parties le 2 décembre 2024 mentionnait par erreur un maintien en « détention pour des motifs de sûreté » de l’appelant. Cette erreur sera rectifiée d’office (art. 83 al. 1 CPP). 8. Partant de la prémisse qu’il serait acquitté d’une grande partie des chefs d’accusation retenus à son encontre, l’appelant soutient qu’il devrait être libéré de toute indemnité pour tort moral en faveur d’I.________, que les frais de première instance devraient être laissés à la charge de l’Etat et qu’une indemnité de l’art. 429 CPP de 100'000 fr. devrait lui être accordée. La condamnation de l’appelant étant entièrement confirmée, ses conclusions tendant à l’octroi en sa faveur d’une indemnité de l’art. 429 CPP ainsi qu’à l’attribution des frais de première instance à l’Etat doivent être rejetées. Pour ce qui est de l’indemnité pour tort moral de 25'000 fr., avec intérêts à 5 % l’an à compter du 9 septembre 2022, octroyée à I.________, l’appelant ne fait valoir aucun moyen à même de remettre en question le principe de cette indemnisation ou sa quotité. Sa condamnation pour tous les actes commis à l’encontre d’I.________ étant confirmée, l’indemnité est pleinement justifiée dans son principe. Un montant de 25'000 fr. est en outre adéquat au vu atteintes subies. Il sera pour le surplus renvoyé, par adoption de motifs, à la motivation des</w:t>
      </w:r>
    </w:p>
    <w:p>
      <w:r>
        <w:t>- 53 - premiers juges, qui est claire et convaincante (art. 82 al. 4 CPP ; Jugement entrepris, p. 124). 9. Au vu de ce qui précède, l’appel doit être rejeté et le jugement entrepris confirmé. Me Matthieu Genillod, défenseur d’office de C.M.________, a produit une liste des opérations faisant état de 24h d’activité d’avocat. Il fait notamment état de 8h d’activité englobant les conférences, correspondances et téléphones avec son client, la prise de connaissance du dossier, le suivi du dossier et la révision complète du dossier, sans toutefois détailler la durée allouée à chacune de ces opérations. Me Matthieu Genillod a été remplacé par son collaborateur, Me David Trajilovic, à l’audience d’appel. Il n’appartient pas à l’Etat de faire les frais d’impératifs professionnels du défenseur ayant requis qu’un second avocat se familiarise avec le dossier. Les opérations relatives à la prise de connaissance du dossier et la révision complète du dossier, estimées à 3h en l’absence d’opérations détailles, ne seront ainsi pas indemnisées. L’opération relative à la lecture du jugement, alléguée à 1h, sera également déduite, le dispositif ayant été communiqué par écrit aux parties. Il sera en revanche ajouté 0h20 d’activité afin de tenir compte de la durée effective de l’audience d’appel. Ainsi, les honoraires s’élèvent à 3'660 fr., correspondant à 20h20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73 fr. 20, deux vacations forfaitaires de 120 fr. (art. 3bis al. 3 RAJ), ainsi que la TVA au taux de 8,1 % sur le tout, par 321 fr. 85. L’indemnité totale s’élève donc à 4'295 fr. 05. Me Robin Chappaz, conseil juridique gratuit d’I.________, a produit une liste des opérations faisant état de 13h17 d’activité nécessaire. Il y a uniquement lieu de réduire le total de 0h40 afin de tenir</w:t>
      </w:r>
    </w:p>
    <w:p>
      <w:r>
        <w:t>- 54 - compte de la durée effective de l’audience d’appel. Les honoraires s’élèvent ainsi à 2’271 fr., correspondant à 12h37 d’activité au tarif horaire de 180 francs. Viennent s’y ajouter les débours forfaitaires, par 45 fr. 40, une vacation forfaitaire de 120 fr. et la TVA au taux de 8,1 % sur le tout, par 197 fr. 35. L’indemnité s’élève ainsi à 2'633 fr. 75 au total. Les frais de procédure d’appel s’élèvent à 11'918 fr. 80. Ils sont constitués de l’émolument d’audience, par 700 fr. (art. 21 al. 2 TFIP), de l’émolument de jugement, par 4’290 fr. (art. 21 al. 1 TFIP), et des indemnités d’office arrêtées ci-dessus. Ils seront mis à la charge de C.M.________ qui succombe (art. 428 al. 1 CPP). C.M.________ sera tenu de rembourser à l’Etat de Vaud le montant des indemnités alloués à son défenseur d’office ainsi qu’au conseil juridique gratuit d’I.________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