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PE22.016621 vom 23. März 2023</w:t>
      </w:r>
    </w:p>
    <w:p>
      <w:r>
        <w:t>VD Tribunal cantonal, 2023-03-23, FR</w:t>
      </w:r>
    </w:p>
    <w:p>
      <w:r>
        <w:rPr>
          <w:b/>
        </w:rPr>
        <w:t xml:space="preserve">Quelle: </w:t>
      </w:r>
      <w:r>
        <w:t>https://mcp.opencaselaw.ch/entscheid/vd_gerichte_PE22.016621</w:t>
      </w:r>
    </w:p>
    <w:p>
      <w:r>
        <w:t>FR: VD_GERICHTE PE22.016621 du 23 mars 2023</w:t>
      </w:r>
    </w:p>
    <w:p>
      <w:r>
        <w:t>IT: VD_GERICHTE PE22.016621 del 23 marzo 2023</w:t>
      </w:r>
    </w:p>
    <w:p>
      <w:pPr>
        <w:pStyle w:val="Heading2"/>
      </w:pPr>
      <w:r>
        <w:t>Erwägungen</w:t>
      </w:r>
    </w:p>
    <w:p>
      <w:r>
        <w:rPr>
          <w:b/>
        </w:rPr>
        <w:t>E. 1</w:t>
      </w:r>
    </w:p>
    <w:p>
      <w:r>
        <w:t>let. a CPP), par le recourant qui a un intérêt juridiquement protégé à l’annulation ou à la modification de l’ordonnance (art. 382 al. 1 CPP) et dans les formes prescrites (art. 385 al. 1 CPP), le recours est recevable.</w:t>
      </w:r>
    </w:p>
    <w:p>
      <w:r>
        <w:t>- 5 -</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qui découle du principe de la légalité (art. 5 al. 1 Cst. [Constitution fédérale de la Confédération suisse du 18 avril 1999 ; RS 101] et 2 al. 2 CPP en relation avec les art. 319 al. 1 et 324 al. 1 CPP ; ATF 138 IV 86 consid. 4.2) et qui vaut également pour l’autorité judiciaire chargée de l’examen d’une décision de classement, signifie qu’en règle générale, un classement ou une non-entrée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consid. 2.3.2).</w:t>
      </w:r>
    </w:p>
    <w:p>
      <w:r>
        <w:rPr>
          <w:b/>
        </w:rPr>
        <w:t>E. 3</w:t>
      </w:r>
    </w:p>
    <w:p>
      <w:r>
        <w:t>- 6 -</w:t>
      </w:r>
    </w:p>
    <w:p>
      <w:r>
        <w:rPr>
          <w:b/>
        </w:rPr>
        <w:t>E. 3.1</w:t>
      </w:r>
    </w:p>
    <w:p>
      <w:r>
        <w:t>S’agissant du terme « voleur », le recourant reproche au Ministère public de ne pas avoir procédé aux auditions requises dans le délai de prochaine clôture. Il rappelle que les témoins sollicités étaient présents lors de l’assemblée de la PPE durant laquelle ce terme aurait été proféré et que, même si B.________ n’avait pas « formellement et globalement » contesté avoir tenu les propos dont la partie plaignante se prévalait, leurs témoignages permettraient d’éclaircir les faits, et notamment de savoir s’il avait effectivement employé le terme « voleur ». Un tel doute commandait au Ministère public d’entendre les témoins requis. Ensuite, selon le recourant, en utilisant le terme « escroc » lors de l’assemblée de la PPE – et avant le vote –, le choix des membres quant à l’attribution des travaux avait été influencé de manière déterminante. B.________ aurait simplement pu ne pas présenter l’offre de [...] aux membres de la PPE, et éviter ainsi de tenir les propos qu’on lui reproche.</w:t>
      </w:r>
    </w:p>
    <w:p>
      <w:r>
        <w:rPr>
          <w:b/>
        </w:rPr>
        <w:t>E. 3.2.1</w:t>
      </w:r>
    </w:p>
    <w:p>
      <w:r>
        <w:t>Selon l'art. 173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3.2.2</w:t>
      </w:r>
    </w:p>
    <w:p>
      <w:r>
        <w:t>Se rend coupable de calomnie au sens de l'art. 174 ch. 1 CP celui qui, connaissant la fausseté de ses allégations, aura, en s'adressant à un tiers, accusé une personne ou jeté sur elle le soupçon de tenir une</w:t>
      </w:r>
    </w:p>
    <w:p>
      <w:r>
        <w:t>- 7 -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6B_1254/2019 du 16 mars 2019 consid. 6.1 et réf. cit.).</w:t>
      </w:r>
    </w:p>
    <w:p>
      <w:r>
        <w:rPr>
          <w:b/>
        </w:rPr>
        <w:t>E. 3.2.3</w:t>
      </w:r>
    </w:p>
    <w:p>
      <w:r>
        <w:t>Pour qu'il y ait diffamation ou calomnie, il faut une allégation de fait, et non pas un simple jugement de valeur (ATF 145 IV 462 consid. 4.2.4 ; ATF 137 IV 313 consid. 2.1.2 ; ATF 117 IV 27 consid. 2c). Si l'on ne discerne qu'un jugement de valeur offensant, la diffamation est exclue et il faut appliquer la disposition réprimant l'injure (art. 177 CP), qui revêt un caractère subsidiaire (TF 6B_476/2016 du 23 février 2017 consid. 4.1 ; TF 6B_6/2015 du 23 mars 2016 consid. 2.2). La notion de jugement de valeur doit être comprise dans un sens large. Il s'agit d'une manifestation directe de mésestime ou de mépris, au moyen de mots blessants, de gestes ou de voies de fait (ATF 128 IV 53 consid. 1f/aa et réf. cit.).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w:t>
      </w:r>
    </w:p>
    <w:p>
      <w:r>
        <w:t>- 8 -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(TF 6B_119/2017 du 12 septembre 2017 consid. 3.1 et réf. cit.). Traiter quelqu’un de voleur et d’escroc revient à l’accuser d’avoir commis, ou de commettre une infraction (ATF 148 IV 409 consid. 2.3 ; ATF 145 IV 262 consid. 4.2.2).</w:t>
      </w:r>
    </w:p>
    <w:p>
      <w:r>
        <w:rPr>
          <w:b/>
        </w:rPr>
        <w:t>E. 3.2.4</w:t>
      </w:r>
    </w:p>
    <w:p>
      <w:r>
        <w:t>Au moment d'apprécier si une déclaration est attentatoire à l'honneur, le juge doit procéder à une interprétation objective selon le sens que le tiers destinataire et non prévenu devait, dans les circonstances d'espèce, lui attribuer (ATF 148 IV 409 consid. 2.3.2 ; ATF 145 IV 462 consid. 4.2.3; ATF 137 IV 313 consid. 2.1.3; TF 6B_150/2021 du 11 janvier 2022 consid. 1.3). Aussi, il est constant qu'en matière d'infractions contre l'honneur, les mêmes termes n'ont pas nécessairement la même portée suivant le contexte dans lequel ils sont employés (ATF 145 IV 462 consid. 4.2.3; ATF 118 IV 248 consid. 2b; ATF 105 IV 196 consid. 2; TF 6B_458/2021 du 3 mars 2022 consid. 5.1).</w:t>
      </w:r>
    </w:p>
    <w:p>
      <w:r>
        <w:rPr>
          <w:b/>
        </w:rPr>
        <w:t>E. 3.3</w:t>
      </w:r>
    </w:p>
    <w:p>
      <w:r>
        <w:t>En l’occurrence, au vu de ce qui précède, il n’est pas contestable que le fait de traiter quelqu’un de « voleur » et d’« escroc » revient à l’accuser d’avoir commis ou de commettre une infraction, ce qui est diffamatoire. Si le prévenu a admis avoir employé le terme « escroc » pour désigner le plaignant lors de l’assemblée de la PPE du 8 juin 2022, l'instruction n'a pas permis d'établir le contenu précis de l’ensemble des propos effectivement utilisés par le prévenu à cette occasion – soit s’il avait également traité le plaignant de « voleur » – ni comment ces propos avaient pu être interprétés par les membres de l’assemblée présents. Il</w:t>
      </w:r>
    </w:p>
    <w:p>
      <w:r>
        <w:t>- 9 - apparait ainsi que la mesure d’instruction requise par le recourant, soit l’audition des témoins [...] et [...], présents lors de l’assemblée du 8 juin 2022, aurait permis de compléter l’instruction et, cas échéant, de lever le doute quant aux termes effectivement utilisés par B.________. Pour cette raison déjà, le recours de J.________ doit être admis. Ensuite, s’agissant du terme « escroc », la procureure a considéré que B.________ n’avait pas agi sans motif suffisant, étant donné qu’il défendait les intérêts de la PPE dont il était l’administrateur, et qu’il n’avait, à titre personnel, rien contre le recourant. Par ailleurs, le plaignant ayant été condamné en 2014 pour escroquerie notamment, le prévenu était légitimé à se prévaloir de la preuve libératoire. Cette appréciation ne résiste pas à l’examen. En effet, s’il est admis que le plaignant a été condamné par le passé pour escroquerie notamment, cela ne signifie pas encore que le prévenu pouvait être admis à faire la preuve libératoire, d’une part, ni que la preuve de la vérité à la date du présent était apportée, d’autre part. Si B.________ entendait « protéger » la PPE, il aurait pu purement et simplement écarter le devis de [...] ; en outre, il apparaît évident qu’en utilisant à tout le moins le terme « escroc » devant les membres de la PPE, leur choix quant à l’attribution des travaux a pu être influencé de manière déterminante. Par ailleurs, contrairement à ce que retient l’autorité intimée, la lecture des auditions montre qu’il y a manifestement un différend (actuel ou passé) entre les deux parties ; or, cela ne suffit pas encore à justifier les propos en question, d’autant plus que l’ordonnance attaquée ne motive pas le lien qui pourrait justifier la preuve libératoire dans ce contexte. Enfin, c’est le sens général que les destinataires non prévenus, soit les personnes qui ont assisté à l’assemblée générale de la PPE, devaient attribuer aux propos en cause, dans les circonstances de l’espèce, qui est déterminant. Or, dans le cas présent, les circonstances ayant entouré les propos litigieux n’ont pas été instruites.</w:t>
      </w:r>
    </w:p>
    <w:p>
      <w:r>
        <w:rPr>
          <w:b/>
        </w:rPr>
        <w:t>E. 4</w:t>
      </w:r>
    </w:p>
    <w:p>
      <w:r>
        <w:t>En définitive, le recours doit être admis, l’ordonnance querellée annulée et le dossier de la cause renvoyé au Ministère public de</w:t>
      </w:r>
    </w:p>
    <w:p>
      <w:r>
        <w:t>- 10 - l’arrondissement de Lausanne pour qu’il procède dans le sens des considérants. Vu le sort du recours, l’émolument d’arrêt, par 1’100 fr. (art. 20 al. 1 TFIP [tarif des frais de procédure et indemnités en matière pénale du 28 septembre 2010 ; BLV 312.03.1]), sera laissé à la charge de l’Etat (art. 428 al. 4 CPP). Le recourant, qui a procédé avec l’assistance d’un avocat de choix et qui a obtenu gain de cause, a droit à une indemnité pour les dépenses occasionnées par la procédure de recours, au sens de l’art. 433 CPP, applicable par renvoi de l’art. 436 al. 1 CPP (TF 6B_1065/2015 du 15 septembre 2015 consid. 3.2). Cette indemnité est fixée à 900 fr., correspondant à 3 heures d’activité nécessaire d’avocat au tarif horaire de 300 fr. (cf. art. 26a al. 3 TFIP), auxquels s’ajoutent les débours forfaitaires de 2% des honoraires, par 18 fr. (cf. art. 26b TFIP par renvoi de l’art. 3bis RAJ [règlement sur l’assistance judiciaire en matière civile du 7 décembre 2010 ; BLV 211.02.3]), ainsi qu’un montant correspondant à la TVA, par 70 fr. 70, à savoir un montant total de 989 fr., au total en chiffres arrondis, à la charge de l’Etat. Par ces motifs, la Chambre des recours pénale prononce : I. Le recours est admis. II. L’ordonnance du 22 novembre 2022 est annulée. III. Le dossier de la cause est renvoyé au Ministère public de l’arrondissement de Lausanne pour qu’il procède dans le sens des considérants. IV. Les frais d’arrêt, par 1’100 fr. (mille cent francs), sont laissés à la charge de l’Etat. V. Une indemnité de 989 fr. (neuf cent huitante-neuf francs) est allouée à J.________ pour les dépenses occasionnées par la procédure de recours, à la charge de l’Etat.</w:t>
      </w:r>
    </w:p>
    <w:p>
      <w:r>
        <w:t>- 11 - VI. L’arrêt est exécutoire. La présidente : La greffière : Du Le présent arrêt, dont la rédaction a été approuvée à huis clos, est notifié, par l'envoi d'une copie complète, à : - Me Christian Chillà, avocat (pour J.________), - Ministère public central, et communiqué à : - M. B.________,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