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PE22.016494 vom 15. Mai 2023</w:t>
      </w:r>
    </w:p>
    <w:p>
      <w:r>
        <w:t>VD Tribunal cantonal, 2023-05-15, FR</w:t>
      </w:r>
    </w:p>
    <w:p>
      <w:r>
        <w:rPr>
          <w:b/>
        </w:rPr>
        <w:t xml:space="preserve">Quelle: </w:t>
      </w:r>
      <w:r>
        <w:t>https://mcp.opencaselaw.ch/entscheid/vd_gerichte_PE22.016494</w:t>
      </w:r>
    </w:p>
    <w:p>
      <w:r>
        <w:t>FR: VD_GERICHTE PE22.016494 du 15 mai 2023</w:t>
      </w:r>
    </w:p>
    <w:p>
      <w:r>
        <w:t>IT: VD_GERICHTE PE22.016494 del 15 maggio 2023</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w:t>
      </w:r>
    </w:p>
    <w:p>
      <w:r>
        <w:rPr>
          <w:b/>
        </w:rPr>
        <w:t>E. 1.2</w:t>
      </w:r>
    </w:p>
    <w:p>
      <w:r>
        <w:t>En l’espèce, la partie plaignante C. SA, personne morale, a la qualité pour agir (art. 382 al. 1 CPP), dès lors que les écrits incriminés portent sur son activité sociale et qu’elle a déposé plainte. Selon les indications figurant au Registre du commerce accessibles sur Internet, qui sont notoires (ATF 143 IV 380 consid. 1.1.1 et les références citées), D. est administratrice de la société et dispose de la signature individuelle, de sorte qu’elle est habilitée à représenter la société. Interjeté au surplus</w:t>
      </w:r>
    </w:p>
    <w:p>
      <w:r>
        <w:t>- 6 - dans le délai légal et dans les formes prescrites (art. 385 al. 1 CPP), auprès de l’autorité compétente, le recours est ainsi recevable. Dans son recours, D. déclare agir également personnellement, faisant valoir que M. l’a directement injuriée. Or, la plainte a été déposée au nom de la société C. SA, même si dans le corps de celle-ci, D. déclare, sous chiffre 8, qu’elle a été dénigrée et insultée car M. l’a traitée de « désordonnée ». Il est dans ces circonstances douteux que la plainte et le recours aient été valablement déposés par D. personnellement. Peu importe toutefois, dès lors que le recours doit de toute manière être rejeté pour les motifs qui suivent.</w:t>
      </w:r>
    </w:p>
    <w:p>
      <w:r>
        <w:rPr>
          <w:b/>
        </w:rPr>
        <w:t>E. 2.1</w:t>
      </w:r>
    </w:p>
    <w:p>
      <w:r>
        <w:t>La recourante requiert la tenue d’une audience afin d’exposer plus en détail les faits qu’elle reproche à M. et A..</w:t>
      </w:r>
    </w:p>
    <w:p>
      <w:r>
        <w:rPr>
          <w:b/>
        </w:rPr>
        <w:t>E. 2.2</w:t>
      </w:r>
    </w:p>
    <w:p>
      <w:r>
        <w:t>Si le CPP prévoit que l’autorité de recours peut ordonner des débats, d’office ou à la demande d’une partie (art. 390 al. 5 CPP), la procédure de recours est en principe écrite (cf. art. 397 al. 1 CPP ; TF 1B_332/2019 du 24 juillet 2019 consid. 3.1 et les références citées). La tenue des débats doit ainsi demeurer exceptionnelle (TF 1B_332/2019 précité). La Chambre des recours pénale, qui dispose en tant qu’autorité de recours d’une pleine cognition en fait et en droit, est au demeurant légitimée à procéder par écrit (TF 6B_106/2021 du 29 novembre 2021 consid. 2.1), respectivement à s’abstenir de donner suite à une demande tendant à la tenue d’une audience publique notamment lorsque celle-ci apparaît abusive, car chicanière ou dilatoire, ou lorsqu’il apparaît clairement que le recours est infondé ou irrecevable (TF 1B_23/2022 du 25 mai 2022 consid. 3.3 ; TF 6B_803/2016 du 20 juillet 2017 consid. 1.1).</w:t>
      </w:r>
    </w:p>
    <w:p>
      <w:r>
        <w:rPr>
          <w:b/>
        </w:rPr>
        <w:t>E. 2.3</w:t>
      </w:r>
    </w:p>
    <w:p>
      <w:r>
        <w:t>En l’espère, rien ne justifie de déroger à la règle de la procédure écrite, la recourante ayant pu s’exprimer par écrit et le recours apparaissant d’emblée mal fondé. Au surplus, celle-ci n’expose pas de motifs précis justifiant la tenue de débats.</w:t>
      </w:r>
    </w:p>
    <w:p>
      <w:r>
        <w:t>- 7 -</w:t>
      </w:r>
    </w:p>
    <w:p>
      <w:r>
        <w:rPr>
          <w:b/>
        </w:rPr>
        <w:t>E. 3</w:t>
      </w:r>
    </w:p>
    <w:p>
      <w:r>
        <w:t>La recourante produit, au stade du recours, des documents relatifs à la commission d’une infraction à la LCR, laquelle aurait été commise au moyen du véhicule de l’entreprise par M.. Ces documents n’ont pas été produits devant le procureur et les faits qu’ils concernent n’ont pas trait à la plainte déposée le 5 août 2022 et complétée les 25 et 30 août suivants. Il n’y a ainsi pas lieu de tenir compte de ces pièces dans le cadre du présent recours, en tant qu’elles ne sont pas susceptibles d’établir un grief ayant trait à la plainte et à l’ordonnance attaquée. En tant que le grief relatif à ces pièces est exorbitant à la plainte et à l’ordonnance de non-entrée en matière, il n’est pas recevable.</w:t>
      </w:r>
    </w:p>
    <w:p>
      <w:r>
        <w:rPr>
          <w:b/>
        </w:rPr>
        <w:t>E. 4.1</w:t>
      </w:r>
    </w:p>
    <w:p>
      <w:r>
        <w:t>Sur le fond, la recourante C. SA conteste le refus du Ministère public d’entrer en matière sur sa plainte, faisant valoir que M. a proféré des paroles attentatoires à son honneur et l’a dénigrée auprès de concurrents par de fausses affirmations. Elle soutient également que le témoin entendu par la police a menti en tant qu’il a affirmé n’avoir entendu aucun propos portant atteinte à la considération de la société.</w:t>
      </w:r>
    </w:p>
    <w:p>
      <w:r>
        <w:rPr>
          <w:b/>
        </w:rPr>
        <w:t>E. 4.2.1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w:t>
      </w:r>
    </w:p>
    <w:p>
      <w:r>
        <w:t>- 8 -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n’est constitutif d’aucune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4.2.2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- 9 -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6B_1215/2020 du 22 avril 2021 consid. 3.1 ;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w:t>
      </w:r>
    </w:p>
    <w:p>
      <w:r>
        <w:t>- 10 - (ATF 145 IV 462 consid. 4.2.2 et les références citées ; TF 6B_178/2020 du 20 mars 2020 consid. 4.1 ; TF 6B_1020/2018 du 1er juillet 2019 consid. 5.1.1 ; TF 6B_224/2016 du 3 janvier 2017 consid. 2.2 et les références citées).</w:t>
      </w:r>
    </w:p>
    <w:p>
      <w:r>
        <w:rPr>
          <w:b/>
        </w:rPr>
        <w:t>E. 4.2.3</w:t>
      </w:r>
    </w:p>
    <w:p>
      <w:r>
        <w:t>Aux termes de l’art. 177 al. 1 CP,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4.2.4</w:t>
      </w:r>
    </w:p>
    <w:p>
      <w:r>
        <w:t>Une personne morale de droit privé peut en principe aussi être atteinte dans son honneur, indépendamment de celui des personnes qui la composent. Tel est le cas par exemple lorsqu'il est allégué qu'elle a une activité ou un but propre à la rendre méprisable selon les conceptions morales généralement admises, ou lorsqu'on la dénigre elle-même, en évoquant le comportement méprisable de ses organes ou employés (TF 6B_1265/2018 du 4 avril 2019 consid. 1.2 ; TF 6B_119/2017 du 12</w:t>
      </w:r>
    </w:p>
    <w:p>
      <w:r>
        <w:t>- 11 - décembre 2017 consid. 3.1 et les références citées ; TF 6B_777/2022 du 16 mars 2023 consid. 2.2).</w:t>
      </w:r>
    </w:p>
    <w:p>
      <w:r>
        <w:rPr>
          <w:b/>
        </w:rPr>
        <w:t>E. 4.3</w:t>
      </w:r>
    </w:p>
    <w:p>
      <w:r>
        <w:t>En l’espèce, les faits reprochés par la recourante C. SA à M. et A. ne sont pas établis par les éléments du dossier. En effet, les courriels échangés entre l’administratrice d’C. SA et les prévenus attestent du fait qu’un litige relatif aux conditions de travail et aux prestations offertes par l’entreprise opposait M. et A. à leur employeur (P. 6/1, 6/4, 6/5 et 6/6). Or, les messages envoyés par les prévenus à leur employeur, dans lesquels ceux-ci exprimaient leur mécontentement, n’ont pas été adressés à des tiers, de sorte que les infractions de diffamation et de calomnie n’entrent pas en considération. Au demeurant, dans le message envoyé le 6 mai 2022 par M. à l’administratrice de la recourante, l’intéressé rapporte à celle-ci des propos de tiers, de sorte qu’on ne saurait considérer qu’il les propage. Les courriels échangés entre D. et des entreprises tierces n’objectivent pas non plus le fait que les prévenus auraient tenus des propos attentatoires à l’honneur d’C. SA, respectivement de son administratrice. S’agissant du courriel envoyé par D. à E. le 18 mai 2022, c’est l’administratrice de la plaignante qui évoque des déclarations diffamatoires (P. 6/3). En ce qui concerne les courriels envoyés par [...] et [...] à la plaignante, leur auteur respectif conteste tout propos diffamatoire, voire toute communication avec M. concernant des questions financières (P. 7/1 et 7/2). Enfin, lors de son audition par la police, F. a déclaré n’avoir entendu aucun propos portant atteinte à la considération de la société. A cet égard, rien ne permet de retenir qu’il aurait menti, comme l’affirme C. SA. En effet, le fait que celui-ci n’ait pas réagi au courriel qu’D. lui a adressé au mois de mai 2022, dans lequel elle affirme que son ancien employé fait de fausses déclarations, n’établit aucunement que le témoin était d’accord avec cette affirmation et qu’il a menti à la police. Par ailleurs, le fait de dire d’une personne, même cheffe d’entreprise, qu’elle n’est « pas ordonnée » ou qu’elle est « désordonnée » ne constitue manifestement pas une déclaration susceptible d’atteindre le degré de gravité constitutif d’une atteinte à l’honneur, que ce soit celui de</w:t>
      </w:r>
    </w:p>
    <w:p>
      <w:r>
        <w:t>- 12 - la personne morale ou celui de la personne physique qui agit pour elle. Il en va de même de l’affirmation selon laquelle l’entreprise ferait mal travailler ses employés ou qu’elle aurait des retards de paiement. Il s’agit en effet de déclarations en lien avec l’activité professionnelle de l’entreprise, voire de son administratrice avec signature individuelle, qui au vu de la jurisprudence exposée ci-dessus, ne tombent pas sous le coup du droit pénal. Les infractions de diffamation et d’injure ne sont ainsi pas réalisées.</w:t>
      </w:r>
    </w:p>
    <w:p>
      <w:r>
        <w:rPr>
          <w:b/>
        </w:rPr>
        <w:t>E. 5</w:t>
      </w:r>
    </w:p>
    <w:p>
      <w:r>
        <w:t>Il résulte de ce qui précède que le recours, manifestement mal fondé, doit être rejeté, dans la mesure de sa recevabilité, sans échange d’écritures (art. 390 al. 2 CPP), et l’ordonnance attaquée confirmée. Les frais de procédure, constitués en l’espèce du seul émolument d’arrêt (art. 422 al. 1 CPP), par 1’210 fr. (art. 20 al. 1 TFIP [Tarif des frais de procédure et indemnités en matière pénale du 28 septembre 2010 ; BLV 312.03.1]), seront mis à la charge de la recourante C. SA, qui succombe (art. 428 al. 1 CPP). Ces frais seront partiellement compensés avec le montant des sûretés de 550 fr. déjà versés par elle, le solde restant à sa charge s’élevant à 660 francs. Par ces motifs, la Chambre des recours pénale prononce : I. Le recours est rejeté dans la mesure où il est recevable. II. L’ordonnance du 14 décembre 2022 est confirmée. III. Les frais d’arrêt, par 1’210 fr. (mille deux cent dix francs), sont mis à la charge de la recourante C. SA. IV. L’avance de frais de 550 fr. (cinq cent cinquante francs) versée par C. SA est imputée sur les frais mis à sa charge au chiffre III ci-dessus, le solde dû s’élevant à 660 fr. (six cent soixante francs).</w:t>
      </w:r>
    </w:p>
    <w:p>
      <w:r>
        <w:t>- 13 - V. L’arrêt est exécutoire. La présidente : La greffière : Du Le présent arrêt, dont la rédaction a été approuvée à huis clos, est notifié, par l'envoi d'une copie complète, à : - C. 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