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PE22.014972 vom 3. Januar 2023</w:t>
      </w:r>
    </w:p>
    <w:p>
      <w:r>
        <w:t>VD Tribunal cantonal, 2023-01-03, FR</w:t>
      </w:r>
    </w:p>
    <w:p>
      <w:r>
        <w:rPr>
          <w:b/>
        </w:rPr>
        <w:t xml:space="preserve">Quelle: </w:t>
      </w:r>
      <w:r>
        <w:t>https://mcp.opencaselaw.ch/entscheid/vd_gerichte_PE22.014972</w:t>
      </w:r>
    </w:p>
    <w:p>
      <w:r>
        <w:t>FR: VD_GERICHTE PE22.014972 du 3 janvier 2023</w:t>
      </w:r>
    </w:p>
    <w:p>
      <w:r>
        <w:t>IT: VD_GERICHTE PE22.014972 del 3 gennaio 2023</w:t>
      </w:r>
    </w:p>
    <w:p>
      <w:pPr>
        <w:pStyle w:val="Heading2"/>
      </w:pPr>
      <w:r>
        <w:t>Erwägungen</w:t>
      </w:r>
    </w:p>
    <w:p>
      <w:r>
        <w:rPr>
          <w:b/>
        </w:rPr>
        <w:t>E. 1.1</w:t>
      </w:r>
    </w:p>
    <w:p>
      <w:r>
        <w:t>Les parties peuvent attaquer une ordonnance de non-entrée en matière rendue par le ministère public en application de l’art. 310 CPP</w:t>
      </w:r>
    </w:p>
    <w:p>
      <w:r>
        <w:t>- 5 -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références citées ; Guidon, in : Niggli/Heer/ Wiprächtiger [éd.], Basler Kommentar, Schweizerische Strafprozessordnung, 2e éd. 2014, n. 9c ad art. 396 StPO et les références citées ; Calame, in : Jeanneret/Kuhn/Perrier Depeursinge [éd.], Code de</w:t>
      </w:r>
    </w:p>
    <w:p>
      <w:r>
        <w:t>- 6 - procédure pénale suisse, Commentaire romand, 2e éd. 2019, n. 21 ad art. 385 CPP ; CREP 7 octobre 2022/740 consid. 1.2.1 ; CREP 19 août 2022/640).</w:t>
      </w:r>
    </w:p>
    <w:p>
      <w:r>
        <w:rPr>
          <w:b/>
        </w:rPr>
        <w:t>E. 1.2.2</w:t>
      </w:r>
    </w:p>
    <w:p>
      <w:r>
        <w:t>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consid. 2.2 ; CREP 7 octobre 2022/740 consid. 1.2.2 ; CREP 17 août 2022/617).</w:t>
      </w:r>
    </w:p>
    <w:p>
      <w:r>
        <w:rPr>
          <w:b/>
        </w:rPr>
        <w:t>E. 2</w:t>
      </w:r>
    </w:p>
    <w:p>
      <w:r>
        <w:t>En l’espèce, il faut d’emblée constater que, depuis 2017, la recourante a déposé plusieurs plaintes pénales contre son ancien compagnon et ses ex-beaux-parents, toujours pour les mêmes motifs, alors que l’ordonnance de classement initial du 11 avril 2018 a été confirmée par la Chambre des recours pénale puis par le Tribunal fédéral, de même que les diverses ordonnances de non-entrée en matière concernant les mêmes faits. La plainte pénale déposée le 9 août 2022 par l’intéressée s’inscrit à nouveau dans ce contexte. Dans son mémoire de recours, la recourante se limite à demander la réouverture de l’instruction pénale, mais n’explique pas en quoi, selon elle, les motifs sur lesquels le Ministère public a fondé sa décision seraient erronés ou en quoi ils ne devraient pas conduire à la reddition d’une ordonnance de non-entrée en matière. En particulier, elle</w:t>
      </w:r>
    </w:p>
    <w:p>
      <w:r>
        <w:t>- 7 - n’expose aucun élément nouveau, qui serait inconnu du procureur, et qui commanderait une autre décision. Elle se contente d’affirmer dans les faits qu’elle a déposé plainte pénale, que l’instruction n’a pas été complète, et qu’elle a été condamnée injustement, ainsi que, dans le droit, de citer le contenu des art. 6 CEDH, 29 Cst. et 3, 4 et 6 CPP. Il n’y a pas le début d’une démonstration en lien avec les motifs de l’ordonnance attaquée. Il s’ensuit que le recours ne satisfait pas aux exigences de motivation de l’art. 385 al. 1 CPP. Un tel vice ne saurait de plus justifier qu’un délai supplémentaire soit fixé à la recourante pour compléter son acte en application de l’art. 385 al. 2 CPP.</w:t>
      </w:r>
    </w:p>
    <w:p>
      <w:r>
        <w:rPr>
          <w:b/>
        </w:rPr>
        <w:t>E. 3</w:t>
      </w:r>
    </w:p>
    <w:p>
      <w:r>
        <w:t>Au vu de ce qui précède, le recours interjeté par A.J.________ doit être déclaré irrecevable, sans autre échange d’écritures (art. 390 al. 2 CPP). Le recours étant dénué de toute chance de succès et les conditions d’une éventuelle action civile n’étant ainsi manifestement pas réunies (cf. art. 136 al. 1 let. b CPP), la requête d’assistance judiciaire doit être rejetée. Les frais de la procédure de recours, constitués en l’espèce du seul émolument d’arrêt (art. 422 al. 1 CPP), par 770 fr. (art. 20 al. 1 TFIP [tarif des frais de procédure et indemnités en matière pénale du 28 septembre 2010 ; BLV 312.03.1]), seront mis à la charge de la recourante, qui doit être considérée comme ayant succombé (art. 428 al. 1 CPP). Par ces motifs, la Chambre des recours pénale prononce : I. Le recours est irrecevable. II. La requête d’assistance judiciaire est rejetée.</w:t>
      </w:r>
    </w:p>
    <w:p>
      <w:r>
        <w:t>- 8 - III. Les frais d’arrêt, par 770 fr. (sept cent septante francs), sont mis à la charge d’A.J.________. IV. L’arrêt est exécutoire. La présidente : Le greffier : Du Le présent arrêt, dont la rédaction a été approuvée à huis clos, est notifié, par l'envoi d'une copie complète, à : - Mme A.J.________,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