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PE22.014656 vom 11. Oktober 2024</w:t>
      </w:r>
    </w:p>
    <w:p>
      <w:r>
        <w:t>VD Tribunal cantonal, 2024-10-11, FR</w:t>
      </w:r>
    </w:p>
    <w:p>
      <w:r>
        <w:rPr>
          <w:b/>
        </w:rPr>
        <w:t xml:space="preserve">Quelle: </w:t>
      </w:r>
      <w:r>
        <w:t>https://mcp.opencaselaw.ch/entscheid/vd_gerichte_PE22.014656</w:t>
      </w:r>
    </w:p>
    <w:p>
      <w:r>
        <w:t>FR: VD_GERICHTE PE22.014656 du 11 octobre 2024</w:t>
      </w:r>
    </w:p>
    <w:p>
      <w:r>
        <w:t>IT: VD_GERICHTE PE22.014656 del 11 ottobre 2024</w:t>
      </w:r>
    </w:p>
    <w:p>
      <w:pPr>
        <w:pStyle w:val="Heading2"/>
      </w:pPr>
      <w:r>
        <w:t>Erwägungen</w:t>
      </w:r>
    </w:p>
    <w:p>
      <w:r>
        <w:rPr>
          <w:b/>
        </w:rPr>
        <w:t>E. 5.1</w:t>
      </w:r>
    </w:p>
    <w:p>
      <w:r>
        <w:t>L’appelant conteste son expulsion à vie. Il fait valoir qu’au regard des circonstances du cas d’espèce et que dans la mesure où l’art. 66b al. 2 prévoyant l’expulsion à vie est une norme potestative, une mesure d’expulsion de 10 ans apparaitrait raisonnable. Selon lui, il faudrait en effet tenir compte du fait qu’il vit en Suisse depuis sa naissance et que sa fille âgée de 11 ans, ses parents, ses frère et sœur ainsi que certaines de ses tantes vivent en Suisse. En particulier, s’il s’était rendu en Suisse malgré l’expulsion pour une durée de 5 ans</w:t>
      </w:r>
    </w:p>
    <w:p>
      <w:r>
        <w:t>- 26 - prononcée contre lui par jugement de la Cour d’appel pénale du 9 octobre 2020, c’était uniquement pour rendre visite à sa fille mineure et non pour commettre des infractions. Les art. 8 CEDH et 13 Cst. lui garantiraient le droit d’entretenir des relations personnelles avec elle. Partant l’intérêt privé de l’appelant à pouvoir rendre visite à sa fille et à sa famille en Suisse dans plusieurs années l’emporterait sur l’intérêt public à une expulsion à vie.</w:t>
      </w:r>
    </w:p>
    <w:p>
      <w:r>
        <w:rPr>
          <w:b/>
        </w:rPr>
        <w:t>E. 5.2.1</w:t>
      </w:r>
    </w:p>
    <w:p>
      <w:r>
        <w:t>Aux termes de l'art. 66a al. 1 let. h CP, le juge expulse de Suisse l'étranger qui est condamné pour viol, quelle que soit la quotité de la peine prononcée à son encontre, pour une durée de 5 à 15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w:t>
      </w:r>
    </w:p>
    <w:p>
      <w:r>
        <w:t>- 27 -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Dans l'appréciation du cas de rigueur, l'art. 66a al. 2 2ème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6B_40/2021 du 29 septembre 2021 consid. 4.2).</w:t>
      </w:r>
    </w:p>
    <w:p>
      <w:r>
        <w:rPr>
          <w:b/>
        </w:rPr>
        <w:t>E. 5.2.2</w:t>
      </w:r>
    </w:p>
    <w:p>
      <w:r>
        <w:t>Selon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w:t>
      </w:r>
    </w:p>
    <w:p>
      <w:r>
        <w:t>- 28 - La durée de la nouvelle expulsion remplace la durée de la précédente expulsion ; il n'y a pas de cumul (Message du Conseil fédéral concernant une modification du Code pénal et du Code pénal militaire du 26 juin 2013, FF 2013, p. 5426). La durée de la nouvelle expulsion sera fixée entre 20 ans et la perpétuité. Le législateur a rédigé l'al. 2 de façon potestative, de telle sorte que le juge n'est pas contraint de prononcer une expulsion à vie dans cette situation.</w:t>
      </w:r>
    </w:p>
    <w:p>
      <w:r>
        <w:rPr>
          <w:b/>
        </w:rPr>
        <w:t>E. 5.3</w:t>
      </w:r>
    </w:p>
    <w:p>
      <w:r>
        <w:t>En l’espèce, l’appelant, qui a toujours vécu en Suisse, où il est né, est père d'un enfant, qui vit également en Suisse, avec lequel il entretient des contacts. Sa famille proche vit également dans ce pays. Dans ces conditions, un renvoi du recourant en Italie, le placerait dans une situation personnelle grave. Cela étant, comme l’a déjà dit le Tribunal fédéral (TF 6B_229/2021 du 25 octobre 2021 consid. 2.3), l'intérêt privé du recourant à demeurer en Suisse résulte essentiellement de sa présence dans ce pays depuis sa naissance ainsi que de celle des membres de sa famille. Pour le reste, l'intégration du recourant en Suisse est faible, que ce soit au niveau social, économique ou professionnel. Il sied encore de relever que le recourant est renvoyé dans un pays limitrophe, de sorte que les membres de sa famille restés en Suisse devraient pouvoir lui rendre visite régulièrement et lui apporter leur soutien. Les contacts du recourant avec sa fille pourront, en particulier, être maintenus par l'intermédiaire des moyens de communication modernes ainsi que par des séjours dans le pays d'origine de l’appelant, ce d'autant que celui-ci est proche géographiquement du pays de résidence de l'enfant. Sur le plan de l'intérêt public à l'expulsion, il y a lieu de tenir compte du fait que le recourant a commis un viol, sa faute étant qualifiée de lourde. C’est un multirécidiviste d’agressions sexuelles. L’appelant présente en effet des antécédents spécifiques, ayant été condamné pour des faits similaires en août 2016 et en octobre 2020. Par ailleurs, ses antécédents sont très mauvais, l’intéressé n’ayant cessé de commettre des infractions depuis 2013. Ces nombreuses infractions mettent en</w:t>
      </w:r>
    </w:p>
    <w:p>
      <w:r>
        <w:t>- 29 - lumière un sévère mépris des lois et de l'ordre juridique suisse. Les experts ont en outre conclu à l’existence d’un risque de récidive élevé d’actes illicites à caractère sexuel, mais également d’autres actes délictueux, en fonction des besoins et pulsions de l’intéressé. L’appelant est ainsi très dangereux. Compte tenu de ces éléments, l'ordre et la sécurité publiques sont gravement menacés. L'intérêt public à l'expulsion du recourant est dès lors très important. La nécessité d’éviter une nouvelle victime d’infraction à l’intégrité sexuelle doit manifestement l’emporter sur les inconvénients professionnels et familiaux que représente l’expulsion pour l’appelant. Au regard de ce qui précède, l'intérêt public à l'expulsion de l’appelant l'emporte de façon significative sur l'intérêt privé de celui-ci à demeurer en Suisse. Au surplus, par jugement du 9 octobre 2021, l’appelant a été condamné à l'expulsion du territoire suisse pour une durée de 5 ans. Il a donc récidivé alors que cette mesure était en cours. Dans de telles circonstances, l’expulsion peut être prononcée pour une durée de 20 ans (art. 66b al. 1 CP) ou à vie (art. 66b al. 2 CP). Il n’est dès lors pas envisageable de prononcer l’expulsion pour une durée de 10 ans seulement. L’appelant n’a pas de lien professionnel en Suisse. Quant à ses arguments familiaux, à savoir le maintien de son lien avec sa fille mineure, âgée aujourd’hui de 12 ans, ils ne seront de toute manière plus d’actualité. L’appelant ne peut donc se prévaloir d’aucun motif légitime pour revenir sur le territoire helvétique dans 21 ans, étant rappelé que celui-ci est renvoyé dans un pays limitrophe et que sa fille, devenue majeure, pourra lui rendre visite. Au vu de ces éléments, l’expulsion à vie ordonnée par le tribunal de première instance, qui donne un signal clair à l’intéressé qu’il ne doit plus revenir en Suisse, doit être confirmée.</w:t>
      </w:r>
    </w:p>
    <w:p>
      <w:r>
        <w:rPr>
          <w:b/>
        </w:rPr>
        <w:t>E. 6</w:t>
      </w:r>
    </w:p>
    <w:p>
      <w:r>
        <w:t>Au vu de l’ensemble des considérants qui précèdent, l’appel d’I.________ doit être rejeté.</w:t>
      </w:r>
    </w:p>
    <w:p>
      <w:r>
        <w:t>- 30 - III. Recours de Me Basile Casoni</w:t>
      </w:r>
    </w:p>
    <w:p>
      <w:r>
        <w:rPr>
          <w:b/>
        </w:rPr>
        <w:t>E. 7.1</w:t>
      </w:r>
    </w:p>
    <w:p>
      <w:r>
        <w:t>L’avocat Basile Casoni invoque une violation de son droit d’être entendu, soutenant ne pas savoir quelles sont les activités qui ont été jugées excessives. Il conteste en outre le fait qu’un montant de 7'117 fr. 55 ait été retranché de sa liste d’opérations par le Tribunal criminel.</w:t>
      </w:r>
    </w:p>
    <w:p>
      <w:r>
        <w:rPr>
          <w:b/>
        </w:rPr>
        <w:t>E. 7.2.1</w:t>
      </w:r>
    </w:p>
    <w:p>
      <w:r>
        <w:t>Le droit d’être entendu, garanti par les art. 3 al. 2 let. c CPP, 29 al. 2 Cst. (Constitution fédérale de la Confédération suisse du 18 avril 1999 ; RS 101)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w:t>
      </w:r>
    </w:p>
    <w:p>
      <w:r>
        <w:rPr>
          <w:b/>
        </w:rPr>
        <w:t>E. 7.2.2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w:t>
      </w:r>
    </w:p>
    <w:p>
      <w:r>
        <w:t>- 32 - Selon l’art. 3bis al. 1 RAJ, applicable par renvoi de l’art. 26b TFIP, les débours du conseil commis d'office sont fixés forfaitairement à 5 % du défraiement hors taxe en première instance judiciaire et à 2 % du défraiement hors taxe en deuxième instance judiciaire. Selon l'art. 3bis al. 3 RAJ, applicable par renvoi de l'art. 26b TFIP, les vacations dans le canton de Vaud sont comptées forfaitairement à 120 fr. pour l'avocat breveté et à 80 fr. pour l'avocat stagiaire. Ce forfait vaut pour tout le canton et couvre les frais et le temps de déplacement aller et retour.</w:t>
      </w:r>
    </w:p>
    <w:p>
      <w:r>
        <w:rPr>
          <w:b/>
        </w:rPr>
        <w:t>E. 7.3</w:t>
      </w:r>
    </w:p>
    <w:p>
      <w:r>
        <w:t>En l’espèce, les premiers juges ont expliqué que l’indemnité, arrêtée à 12'693 fr. 20, débours, vacations et TVA compris, avait été calculée sur la base de la liste d’opérations produite par le défenseur concerné, globalement correcte et justifiée, sous réserve d’une non-prise en compte d’opérations relevant du pur travail de secrétariat (envoi de courriers s’apparentant à des mémos, opérations relatives à l’organisation de visites en détention, à la consultation du dossier ou à la planification d’auditions) et d’une réduction du temps annoncé pour la rédaction de déterminations à l’intention du Tribunal des mesures de contrainte (chaque prolongation de la détention ne justifiant pas le dépôt d’écritures nécessitant 2 heures de rédaction, en l’absence d’éléments nouveaux à faire valoir), la réception de courriers, décisions ou documents simples ne nécessitant que quelques secondes d’attention pour l’avocat correctement formé et la préparation de la plaidoirie (5 heures ayant paru suffisantes à ce titre, compte tenu des éléments plaidés). Ces éléments constituent une motivation suffisante au regard de la jurisprudence citée ci-avant, le recourant pouvant comprendre comment le Tribunal criminel a réduit sa liste des opérations. Cela étant, si la Cour de céans adhère au raisonnement effectué par le Tribunal criminel en tant qu’il concerne la non-prise en compte d’opérations relevant du pur travail de secrétariat et la réduction du temps annoncé pour la réception de courriers, décisions ou documents simples et pour la préparation de la plaidoirie, elle ne partage toutefois</w:t>
      </w:r>
    </w:p>
    <w:p>
      <w:r>
        <w:t>- 33 - pas son appréciation quant à la réduction du temps annoncé pour la rédaction de déterminations à l’intention du Tribunal des mesures de contrainte, ces opérations devant être prises en compte dans le calcul de l’indemnité. Partant, à l’indemnité de 12'693 fr. 20 allouée par les premiers juges, il convient d’ajouter une indemnité de 2'444 fr. 15, dont 2'035 fr. 55 correspondant à 10 heures d’activité au tarif horaire de 180 fr., plus les débours à 5%, soit 90 fr., et la TVA de 7,7 % sur le tout, soit 145 fr. 55, pour les opérations antérieures au 1er janvier 2024, et 408 fr. 60 correspondant à 2 heures d’activité au tarif horaire de 180 fr., plus les débours à 5%, soit 18 fr., et la TVA de 7,7 % sur le tout, soit 30 fr. 60, pour les opérations postérieures au 1er janvier 2024. L’indemnité devant être allouée à Me Basile Casoni s’élève ainsi à 15'137 fr. 35. A cet égard, le chiffre III/X du dispositif communiqué aux parties contient une erreur manifeste en ce sens que les débours ont été fixés forfaitairement à 2% (et non 5%) du défraiement. En application de l’art. 83 CPP, le dispositif sera dès lors rectifié d’office sur ce point. Il en va en conséquence de même du chiffre III/XII du dispositif communiqué aux parties et concernant les frais de procédure de première instance, qui comprennent l’indemnité allouée au défenseur d’office d’I.________ et qui doivent donc être portés à 33'362 fr. 50. Au vu de ce qui précède, le recours de Me Basile Casoni doit être partiellement admis. IV. Conclusions En définitive, l’appel d’I.________ doit être rejeté. Le recours de Me Basile Casoni doit être partiellement admis et les chiffres X et XII du dispositif du jugement attaqué modifiés dans le sens des considérants qui précèdent. La détention subie par I.________ depuis le jugement de première instance sera déduite (art. 51 CP). Pour garantir l’exécution de sa peine et des mesures et compte tenu du risque de récidive qu’il</w:t>
      </w:r>
    </w:p>
    <w:p>
      <w:r>
        <w:t>- 34 - présente, il convient en outre d’ordonner le maintien du prénommé en exécution anticipée de peine. Me Basile Casoni, défenseur d’office d’I.________, a produit une liste des opérations, faisant valoir une indemnité de 3'408 fr. 60, débours et TVA compris. Cette indemnité est un peu trop élevée. En effet, il convient de retrancher 1h34 pour le temps consacré les 11 octobre, 27 novembre, 3 et 17 décembre 2024 par l’avocat à la rédaction de courriers, qui sont à l’évidence de simples transmissions sans portée sur le fond de la cause et des envois pour information aux autres parties, soit des opérations de secrétariat qui n’exigent pas d’examen de la part de l’avocat et qui entrent dans les frais généraux de celui-ci, déjà compris dans l'indemnité horaire. Il en va de même du courrier du 11 octobre 2024 au Tribunal d’arrondissement, pour lequel l’avocat a consacré 15 minutes et qui constitue une lettre standard s’apparentant à un mémo. Quant au courrier du Tribunal d’arrondissement du 7 novembre 2024, pour lequel l’avocat a consacré 5 minutes, il constitue une simple lettre d’accompagnement, dont la lecture ne saurait être comptabilisée. En définitive, c’est une indemnité de 3'229 fr. 35, correspondant à 15h34 d’activité nécessaire d’avocat breveté au tarif horaire de 180 fr. et à 5 minutes d’activité nécessaire d’avocat stagiaire au tarif horaire de 110 fr., soit à 2'811 fr. 15 d’honoraires, plus une vacation à 120 fr., plus 56 fr. 20 de débours (2% des honoraires), plus 242 fr. de TVA (8,1 %), qui sera allouée à Me Basile Casoni. Vu l’issue de la cause, les frais d'appel, par 6'269 fr. 35, constitués de l'émolument de jugement (art. 21 al. 1 et 2 TFIP), par 3'040 fr., et de l’indemnité allouée à son défenseur d’office, par 3'229 fr. 35, seront mis par deux tiers à la charge d’I.________. Les frais afférents au recours de Me Basile Casoni, arrêtés à 330 fr. et déduits de l’émolument du jugement d’appel, seront laissés à la charge de l’Etat.</w:t>
      </w:r>
    </w:p>
    <w:p>
      <w:r>
        <w:t>- 35 - I.________ ne sera tenu de rembourser à l’Etat le montant de l’indemnité en faveur de son défenseur d’office que lorsque sa situation financière le permettra. La Cour d’appel pénale, appliquant les art. 19 al. 2, 40, 47, 49 al. 1, 50, 51, 64 al. 1 let. a, 66a al. 1 let. h, 66b al. 2, 89 al. 1 et 6, 106, 109, 291 al. 1 CP ; 190 al. 1 aCP ; 19a ch. 1 LStup ; 135 al. 1, 398 ss CPP, prononce : I. L’appel est rejeté. II. Le recours est partiellement admis. III. Le jugement rendu le 11 octobre 2024 et rectifié le 22 octobre 2024 par le Tribunal criminel de l’arrondissement de l’Est vaudois est modifié comme il suit aux chiffres X et XII de son dispositif, le dispositif du jugement étant désormais le suivant : "I. constate qu’I.________ s’est rendu coupable de viol, rupture de ban et contravention à la loi fédérale sur les stupéfiants ; II. révoque la libération conditionnelle accordée le 17 janvier 2022 à I.________ par le Juge d’application des peines ; III. condamne I.________ à une peine privative de liberté de 7 (sept) ans, sous déduction de 774 (sept cent septante-</w:t>
      </w:r>
    </w:p>
    <w:p>
      <w:r>
        <w:t>- 36 - quatre) jours de détention provisoire ou pour motifs de sûreté et de 99 (nonante-neuf) jours à titre de réparation pour tort moral, peine d’ensemble tenant compte de la révocation de la libération conditionnelle prononcée selon chiffre II ci-dessus, ainsi qu’à une amende de 900 fr. (neuf cents francs) convertible en 9 (neuf) jours de privation de liberté en cas de non-paiement fautif ; IV. constate qu’I.________ exécute de manière anticipée depuis le 25 septembre 2024 la peine prononcée selon chiffre III du présent dispositif et ordonne son maintien en exécution anticipée de peine ; V. ordonne l’internement d’I.________ au sens de l’art. 64 al. 1 let. a CP ; VI. ordonne l’expulsion à vie d’I.________ du territoire suisse ; VII. ordonne l’inscription au registre du Système d’Information Schengen (SIS) de l’expulsion d’I.________ prononcée au chiffre VI ci-dessus ; VIII. dit qu’I.________ est le débiteur de J.________ de la somme de 15'000 fr. (quinze mille francs) avec intérêt à 5 % l’an dès le 7 août 2022 à titre d’indemnité pour tort moral et de la somme de 904 fr. (neuf cent quatre francs) avec intérêt à 5 % l’an dès le 15 juin 2023, échéance moyenne, à titre de réparation du dommage ; IX. ordonne le maintien au dossier à titre de pièce à conviction de la clé USB contenant une partie des données téléphoniques d’I.________ ainsi que les vidéos des caméras de la gare de Lausanne inventoriée sous fiche 11977 ; X. fixe l’indemnité du défenseur d’office d’I.________, Me Basile Casoni, à 15'137 fr. 35 (quinze mille cent trente-sept francs et trente-cinq centimes), TVA et débours compris ; XI. fixe l’indemnité du conseil juridique gratuit de J.________, Me Simon Perroud, à 4'892 fr. 95 (quatre mille huit cent nonante-deux francs et nonante-cinq centimes), TVA et débours compris ;</w:t>
      </w:r>
    </w:p>
    <w:p>
      <w:r>
        <w:t>- 37 - XII. met les frais de la cause, par 33'362 fr. 50, y compris l’indemnité allouée au défenseur d’office selon chiffre X du présent dispositif et celle du conseil juridique gratuit de la partie civile selon chiffre XI du présent dispositif, à la charge d’I.________ ; XIII. dit que le remboursement à l’Etat de l’indemnité de son défenseur d’office et de l’indemnité allouée au conseil juridique gratuit de la partie civile ne sera exigé d’I.________ que si sa situation financière le permet." IV.La détention subie depuis le jugement de première instance est déduite. V. Le maintien en exécution anticipée de peine d’I.________ est ordonné. VI.Une indemnité de défenseur d'office pour la procédure d'appel d'un montant de 3'229 fr. 35, TVA et débours inclus, est allouée à Me Basile Casoni. VII. Les frais d'appel, par 6'269 fr. 35, y compris l'indemnité allouée au défenseur d'office, sont mis à la charge d’I.________. Les frais afférents au recours de Me Basile Casoni, arrêtés à 330 fr. et déduits de l’émolument du jugement d’appel, sont laissés à la charge de l’Etat. VIII.I.________ ne sera tenu de rembourser à l’Etat le montant de l’indemnité en faveur de son défenseur d’office prévue au ch. VI ci-dessus que lorsque sa situation financière le permettra. La présidente : La greffière :</w:t>
      </w:r>
    </w:p>
    <w:p>
      <w:r>
        <w:t>- 38 - Du Le jugement qui précède, dont le dispositif a été communiqué par écrit aux intéressés le 5 mai 2025, est notifié, par l'envoi d'une copie complète, à : - Me Basile Casoni, avocat (pour lui-même et pour I.________), - Ministère public central, et communiqué à : - Me Simon Perroud, avocat (pour J.________), - Mme la Présidente du Tribunal criminel de l'arrondissement de l’Est vaudois,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2e éd.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w:t>
      </w:r>
    </w:p>
    <w:p>
      <w:r>
        <w:t>- 31 -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