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PE22.014481 vom 28. September 2022</w:t>
      </w:r>
    </w:p>
    <w:p>
      <w:r>
        <w:t>VD Tribunal cantonal, 2022-09-28, FR</w:t>
      </w:r>
    </w:p>
    <w:p>
      <w:r>
        <w:rPr>
          <w:b/>
        </w:rPr>
        <w:t xml:space="preserve">Quelle: </w:t>
      </w:r>
      <w:r>
        <w:t>https://mcp.opencaselaw.ch/entscheid/vd_gerichte_PE22.014481</w:t>
      </w:r>
    </w:p>
    <w:p>
      <w:r>
        <w:t>FR: VD_GERICHTE PE22.014481 du 28 septembre 2022</w:t>
      </w:r>
    </w:p>
    <w:p>
      <w:r>
        <w:t>IT: VD_GERICHTE PE22.014481 del 28 settembre 2022</w:t>
      </w:r>
    </w:p>
    <w:p>
      <w:pPr>
        <w:pStyle w:val="Heading2"/>
      </w:pPr>
      <w:r>
        <w:t>Erwägungen</w:t>
      </w:r>
    </w:p>
    <w:p>
      <w:r>
        <w:rPr>
          <w:b/>
        </w:rPr>
        <w:t>E. 6.1</w:t>
      </w:r>
    </w:p>
    <w:p>
      <w:r>
        <w:t>La recourante soutient que le principe de célérité aurait été violé car la Procureure n’a toujours pas auditionné Z.________ depuis qu’elle l’a requis par courrier du 22 août 2022.</w:t>
      </w:r>
    </w:p>
    <w:p>
      <w:r>
        <w:rPr>
          <w:b/>
        </w:rPr>
        <w:t>E. 6.2</w:t>
      </w:r>
    </w:p>
    <w:p>
      <w:r>
        <w:t>Les art. 29 al. 1 Cst. (Constitution fédérale de la Confédération suisse du 18 avril 1999 ; RS 101)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1B_514 du 27 octobre 2021 consid. 2.2 in fine et les références ; TF 1B_343/2014 du 29 octobre 2014 consid. 2.1).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w:t>
      </w:r>
    </w:p>
    <w:p>
      <w:r>
        <w:t>- 16 - 54 consid. 3.3.3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rPr>
          <w:b/>
        </w:rPr>
        <w:t>E. 6.3</w:t>
      </w:r>
    </w:p>
    <w:p>
      <w:r>
        <w:t>On cherche en vain en quoi les autorités pénales auraient pris du retard dans la conduite de la procédure, propre à mettre en cause la légalité de la détention provisoire. Du reste, la recourante ne l’explique même pas. Elle a été arrêtée le 8 août 2022, le Tribunal des mesures de contrainte l’a placée en détention provisoire par ordonnance du 10 août 2022, la recourante a fait valoir la nouvelle version des faits de Z.________ le 22 août 2022 auprès du Ministère public et le Tribunal des mesures de contrainte a rejeté sa demande de mise en liberté par ordonnance du 6 septembre 2022. La recourante se plaint que le Ministère public n’a pas donné suite à sa réquisition de preuves du 22 août 2022, ce qui semble concerner l’administration des preuves plutôt que le principe de la célérité. Quoi qu’il en soit, il ressort du dossier que, par courrier du 28 septembre 2022, le Ministère public a informé Z.________ qu’il avait décidé d’ouvrir une instruction pénale à son encontre et qu’il l’entendrait à son audience du 17 octobre 2022. Le moyen de la recourante est infondé.</w:t>
      </w:r>
    </w:p>
    <w:p>
      <w:r>
        <w:rPr>
          <w:b/>
        </w:rPr>
        <w:t>E. 7.1</w:t>
      </w:r>
    </w:p>
    <w:p>
      <w:r>
        <w:t>Au cas où les risques de récidive et/ou de collusion seraient retenus, la recourante considère qu’au moins deux mesures de substitution seraient susceptibles d’y pallier efficacement, soit l’obligation de se soumettre à un traitement médical ou à des contrôles et l’interdiction d’entretenir des relations avec son compagnon selon l’arrêt du Tribunal fédéral 1B_108/2018 du 28 mars 2018.</w:t>
      </w:r>
    </w:p>
    <w:p>
      <w:r>
        <w:rPr>
          <w:b/>
        </w:rPr>
        <w:t>E. 7.2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w:t>
      </w:r>
    </w:p>
    <w:p>
      <w:r>
        <w:t>- 17 -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2e éd., Bâle 2019, n. 2 ad art. 237 CPP).</w:t>
      </w:r>
    </w:p>
    <w:p>
      <w:r>
        <w:rPr>
          <w:b/>
        </w:rPr>
        <w:t>E. 7.3</w:t>
      </w:r>
    </w:p>
    <w:p>
      <w:r>
        <w:t>En l’espèce, l’interdiction faite à la recourante de prendre contact avec Z.________ ne reposerait que sur sa volonté de s’y conformer et ne permettrait en réalité que de constater, a posteriori, sa transgression. Or, on a vu ci-dessus qu’il est impératif que la recourante et Z.________ n’entretiennent plus aucune relation. De plus, contrairement à ce que la recourante allègue, Z.________ n’a pas quitté le domicile commun des concubins, puisqu’il indique qu’il réside toujours à cet endroit dans sa lettre exposant sa nouvelle version des faits. Quant à l’obligation que la recourante se soumette à un traitement médical, elle se heurte au</w:t>
      </w:r>
    </w:p>
    <w:p>
      <w:r>
        <w:t>- 18 - principe selon lequel le choix d’une mesure au sens de l’art. 59 ss CP relève du juge du fond et qu’une mesure de substitution ayant les caractéristiques d’une mesure ne peut être ordonnée par le juge de la détention que lorsque toutes les conditions en sont a priori assurées (TF 1B_91/2021 du 10 mars 2021 consid. 2.3 et les références). Faute de rapport d’expertise permettant de se convaincre que la recourante souffre d’un grave trouble mental et/ou d’une addiction en lien avec la commission des infractions qui lui sont reprochées, d’une part, et qu’un traitement ambulatoire permettrait de la détourner de la commission d’autres infractions, d’autre part, il n’est pas possible de déterminer l’opportunité de mettre en œuvre un traitement médical à titre ambulatoire. A ce stade, il n’existe donc aucune mesure de substitution susceptible de pallier les deux risques retenus.</w:t>
      </w:r>
    </w:p>
    <w:p>
      <w:r>
        <w:rPr>
          <w:b/>
        </w:rPr>
        <w:t>E. 8</w:t>
      </w:r>
    </w:p>
    <w:p>
      <w:r>
        <w:t>Compte tenu de la gravité des actes reprochés, la peine privative de liberté prévisible concrètement est largement supérieure aux trois mois de détention ordonnés jusqu’au 7 novembre 2022. Le principe de proportionnalité en raison de la détention provisoire subie (art. 212 al. 3 CPP) est par conséquent pleinement respecté.</w:t>
      </w:r>
    </w:p>
    <w:p>
      <w:r>
        <w:rPr>
          <w:b/>
        </w:rPr>
        <w:t>E. 9</w:t>
      </w:r>
    </w:p>
    <w:p>
      <w:r>
        <w:t>En définitive, il résulte de ce qui précède que le recours, manifestement mal fondé, doit être rejeté sans échange d'écritures (art. 390 al. 2 CPP) et l'ordonnance entreprise confirmée. Les frais de la procédure de recours, par 1'870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6 septembre 2022 est confirmée.</w:t>
      </w:r>
    </w:p>
    <w:p>
      <w:r>
        <w:t>- 19 - III. Les frais d’arrêt, par 1'870 fr. (mille huit cent septante francs), sont mis à la charge de X.________. IV. L’arrêt est exécutoire. La présidente : La greffière : Du Le présent arrêt, dont la rédaction a été approuvée à huis clos, est notifié, par l'envoi d'une copie complète, à : - Me Véronique Fontana, avocate (pour X.________), - Ministère public central, et communiqué à : - Mme la Présidente du Tribunal des mesures de contrainte, - Mme la Procureure du Ministère public de l’arrondissement de La Côte, - Direction de la Prison de La Tuilière,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