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PE22.014050 vom 1. November 2022</w:t>
      </w:r>
    </w:p>
    <w:p>
      <w:r>
        <w:t>VD Tribunal cantonal, 2022-11-01, FR</w:t>
      </w:r>
    </w:p>
    <w:p>
      <w:r>
        <w:rPr>
          <w:b/>
        </w:rPr>
        <w:t xml:space="preserve">Quelle: </w:t>
      </w:r>
      <w:r>
        <w:t>https://mcp.opencaselaw.ch/entscheid/vd_gerichte_PE22.014050</w:t>
      </w:r>
    </w:p>
    <w:p>
      <w:r>
        <w:t>FR: VD_GERICHTE PE22.014050 du 1 novembre 2022</w:t>
      </w:r>
    </w:p>
    <w:p>
      <w:r>
        <w:t>IT: VD_GERICHTE PE22.014050 del 1 novembre 2022</w:t>
      </w:r>
    </w:p>
    <w:p>
      <w:pPr>
        <w:pStyle w:val="Heading2"/>
      </w:pPr>
      <w:r>
        <w:t>Erwägungen</w:t>
      </w:r>
    </w:p>
    <w:p>
      <w:r>
        <w:rPr>
          <w:b/>
        </w:rPr>
        <w:t>E. 4</w:t>
      </w:r>
    </w:p>
    <w:p>
      <w:r>
        <w:t>A titre subsidiaire, l’appelant conteste la quotité de la peine, estimant que le jugement n’est pas suffisamment motivé, dès lors qu’il n’expose pas les éléments qui ont été pris en considération et ne tient pas compte de sa culpabilité et du retrait de plainte relatif aux dommages à la propriété. Sur ce point, il relève que la peine pécuniaire prononcée est identique à celle mentionnée dans l’ordonnance pénale, alors même qu’il a finalement été libéré du chef de prévention de dommages à la propriété, ce qui aurait dû conduire le premier juge à réduire la peine.</w:t>
      </w:r>
    </w:p>
    <w:p>
      <w:r>
        <w:rPr>
          <w:b/>
        </w:rPr>
        <w:t>E. 4.1.1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w:t>
      </w:r>
    </w:p>
    <w:p>
      <w:r>
        <w:t>- 13 -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w:t>
      </w:r>
    </w:p>
    <w:p>
      <w:r>
        <w:rPr>
          <w:b/>
        </w:rPr>
        <w:t>E. 4.1.2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w:t>
      </w:r>
    </w:p>
    <w:p>
      <w:r>
        <w:t>- 14 -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4.2</w:t>
      </w:r>
    </w:p>
    <w:p>
      <w:r>
        <w:t>Le premier juge, qui n’est pas lié par l’appréciation du Ministère public, a retenu que le prévenu persistait à se poser en victime des circonstances sans manifester la moindre prise de conscience (cf. jgt, pp. 10 et 11), ce qui a également été le cas lors des débats d’appel. Pour le surplus, il s’est limité à évoquer « l’ensemble des circonstances du cas » et la « situation personnelle » du prévenu, sans la détailler. Pour sa part, la Cour de céans considère que la culpabilité de O.________ n’est pas anodine. En effet, même si le plaignant a sans doute surréagi au coup de klaxon de l’appelant, cela ne justifiait pas une telle surenchère de la part de ce dernier, qui, plutôt que de continuer son chemin, a cherché la confrontation verbale et physique, en injuriant et en empoignant le plaignant par le col, avant de menacer de le « retrouver ». Un tel comportement était d’autant plus déplacé qu’il s’est déroulé en présence d’enfants. On ne voit guère d’éléments à décharge puisque l’appelant refuse toujours d’admettre ses torts, si ce n’est l’absence d’antécédents de même nature. Cela étant, l’infraction de menaces (« je vais te taper » ; « toi, je ne t’oublie pas, je te retrouverai, tu as traumatisé mes gamins ») constitue l’infraction la plus grave. A elle seule, elle justifie le prononcé</w:t>
      </w:r>
    </w:p>
    <w:p>
      <w:r>
        <w:t>- 15 - d’une peine pécuniaire de 40 jours-amende. Les effets du concours conduisent à l’augmentation de cette peine de base de 10 jours-amende pour réprimer l’infraction d’injure, de sorte que la peine totale de 50 jours- amende prononcée par le Tribunal de police est adéquate. Le montant du jour-amende fixé à 30 fr., qui n’est pas contesté, correspond à la situation personnelle de l’appelant. Les conditions du sursis sont en outre réalisées. Enfin, s’agissant des voies de fait consistant en une empoignade, l’amende prononcée de 450 fr. n’a rien d’excessif et doit être confirmée, de même que la peine privative de liberté de substitution fixée à 15 jours.</w:t>
      </w:r>
    </w:p>
    <w:p>
      <w:r>
        <w:rPr>
          <w:b/>
        </w:rPr>
        <w:t>E. 5</w:t>
      </w:r>
    </w:p>
    <w:p>
      <w:r>
        <w:t>L’appelant soutient qu’au vu de sa libération du chef de prévention de dommages à la propriété, une partie des frais aurait dû être laissée à la charge de l’Etat.</w:t>
      </w:r>
    </w:p>
    <w:p>
      <w:r>
        <w:rPr>
          <w:b/>
        </w:rPr>
        <w:t>E. 5.1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Un retrait de plainte, comme en l'espèce, s'apparente d'un point de vue procédural à un classement (cf. art. 319 al. 1 let. d CPP). En ce sens, l'art. 426 al. 2 CPP est susceptible de s'appliquer dans le cadre d'un retrait de plainte pour une infraction poursuivie sur plainte (TF 6B_1008/2013 du 27 mars 2014 consid. 1.2 ; TF 6B_87/2012 du 27 avril 2012 consid. 1.1).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w:t>
      </w:r>
    </w:p>
    <w:p>
      <w:r>
        <w:t>- 16 -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w:t>
      </w:r>
    </w:p>
    <w:p>
      <w:r>
        <w:rPr>
          <w:b/>
        </w:rPr>
        <w:t>E. 5.2</w:t>
      </w:r>
    </w:p>
    <w:p>
      <w:r>
        <w:t>En l’espèce, lors de son audition par la police (cf. PV audition 3, R. 4), l’appelant a admis avoir ouvert la portière de son véhicule tout en sachant qu’elle allait heurter le scooter (« en ouvrant celle-ci, j’ai vu qu’elle allait heurter son véhicule. […] J’ai quand même ouvert ma portière et le scooter est tombé au sol »). En outre, le témoin [...] a déclaré : « […] le conducteur de la voiture a ouvert sa portière assez brusquement. Là, le scootériste est tombé sur le sol avec son engin. » (PV audition 4, R. 4). Dans ces circonstances, on doit considérer qu’en agissant comme il l’a fait, l’appelant a illicitement et fautivement provoqué l’ouverture de la procédure pour dommages à la propriété et c’est donc à juste titre que le premier juge a retenu qu’il devait supporter l’entier des frais. Mal fondé, ce moyen doit ainsi être rejeté.</w:t>
      </w:r>
    </w:p>
    <w:p>
      <w:r>
        <w:rPr>
          <w:b/>
        </w:rPr>
        <w:t>E. 6</w:t>
      </w:r>
    </w:p>
    <w:p>
      <w:r>
        <w:t>Au vu de ce qui précède, l’appel doit être rejeté et le jugement entrepris confirmé. Vu l'issue de la cause, les frais d'appel, par 1’610 fr., comprenant l’émolument de jugement et d’audience (art. 21 al. 1 et 2 TFIP</w:t>
      </w:r>
    </w:p>
    <w:p>
      <w:r>
        <w:t>- 17 - [tarif des frais de procédure et indemnités en matière pénale du 28 septembre 2010 ; BLV 312.03.1]), sont mis à la charge de O.________, qui succombe (art. 428 al. 1 CPP). Pour ce même motif, il n’y a pas lieu de lui allouer une indemnité de l’art. 429 CPP, l’appelant ayant du reste renoncé à celle-ci lors des débats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