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PE22.013917 vom 17. April 2023</w:t>
      </w:r>
    </w:p>
    <w:p>
      <w:r>
        <w:t>VD Tribunal cantonal, 2023-04-17, FR</w:t>
      </w:r>
    </w:p>
    <w:p>
      <w:r>
        <w:rPr>
          <w:b/>
        </w:rPr>
        <w:t xml:space="preserve">Quelle: </w:t>
      </w:r>
      <w:r>
        <w:t>https://mcp.opencaselaw.ch/entscheid/vd_gerichte_PE22.013917</w:t>
      </w:r>
    </w:p>
    <w:p>
      <w:r>
        <w:t>FR: VD_GERICHTE PE22.013917 du 17 avril 2023</w:t>
      </w:r>
    </w:p>
    <w:p>
      <w:r>
        <w:t>IT: VD_GERICHTE PE22.013917 del 17 aprile 2023</w:t>
      </w:r>
    </w:p>
    <w:p>
      <w:pPr>
        <w:pStyle w:val="Heading2"/>
      </w:pPr>
      <w:r>
        <w:t>Erwägungen</w:t>
      </w:r>
    </w:p>
    <w:p>
      <w:r>
        <w:rPr>
          <w:b/>
        </w:rPr>
        <w:t>E. 4</w:t>
      </w:r>
    </w:p>
    <w:p>
      <w:r>
        <w:t>ans, sous déduction de 266 jours de détention avant jugement et de 5 jours à titre de réparation du tort moral pour 9 jours effectués dans des conditions de détention illicites (II), a ordonné son maintien en exécution anticipée de peine (III), a ordonné son expulsion à vie du territoire suisse, avec inscription au fichier d’information Schengen (IV), a révoqué le sursis accordé à A.________ le 9 octobre 2019 par le Tribunal de Lucerne (V), a ordonné la confiscation, cas échéant la destruction des sommes d’argent venant en imputation des frais de justice et des sommes et objets selon fiches nos 34773, 34774, 35396 et S22.003045 (VI), a ordonné le maintien au dossier à titre de pièce à conviction des objets selon fiches nos 35070 et 35114 (VII) et a mis les frais, par 16'968 fr. 35, y compris l’indemnité allouée à son défenseur d’office, par 7'531 fr. 45, à la charge de A.________, le remboursement de dite indemnité n’étant exigible du condamné que lorsque sa situation financière le permettra (VIII). B. Par annonce du 19 avril 2023 puis déclaration du 5 juin 2023, A.________ a interjeté appel contre ce jugement en concluant, avec suite de frais et dépens, principalement à sa réforme, en ce sens qu’il est acquitté des chefs d’accusation de rupture de ban et d’infraction grave à la Loi fédérale sur les stupéfiants, qu’il est libéré de toute peine et immédiatement libéré, qu’il est renoncé à son expulsion du territoire suisse, que le sursis accordé le 9 octobre 2019 n’est pas révoqué, que les</w:t>
      </w:r>
    </w:p>
    <w:p>
      <w:r>
        <w:t>- 8 - sommes d’argent séquestrées lui sont restituées, qu’une indemnité de 63'000 fr. lui est allouée à titre de réparation morale pour la détention subie du 26 juillet 2022 au 5 juin 2023, qu’une indemnité dont le montant sera à préciser en cours d’instance lui est allouée à titre de réparation morale pour la détention subie du 6 juin 2023 jusqu’au jour de sa libération et que les frais de justice sont laissés à la charge de l’Etat. Subsidiairement, il a conclu à la réforme du jugement, en ce sens qu’une peine privative de liberté inférieure à 4 ans est fixée, avec sursis partiel, le sursis accordé le 2 février 2022 étant maintenu. Plus subsidiairement, il a conclu à l’annulation du jugement et au renvoi de la cause à l’autorité précédente pour nouvelle décision dans les sens des considérants. C. Les faits retenus sont les suivants : a) A.________ est né le [...] 2000 à [...] au Nigéria. Ressortissant de ce pays, il ne bénéficie d’aucune autorisation de séjour en Suisse. Il a été élevé par ses parents dans son pays d’origine avec sa sœur et ses deux frères dont il est l’aîné. Il a suivi l’école jusqu’au niveau secondaire, puis a suivi une formation dans le domaine commercial jusqu’en 2016, année au cours de laquelle il a quitté le Nigeria pour l’Italie, où il est resté dans un camp de réfugiés entre 2017 et 2019. Sa demande d’asile aurait été acceptée, ce qui lui aurait permis d’obtenir une autorisation de séjour et de s’installer à Parme, où il aurait commencé à travailler comme employé de maison. Il percevrait entre 600 et 800 euros par mois à ce titre, ce qui lui permettrait de subvenir à ses besoins et d’envoyer de l’argent à sa famille au Nigéria. Il est marié et son épouse, qui réside au Nigéria, a donné naissance à leur enfant le 24 décembre 2022. A l’audience d’appel, il a déclaré que ses conditions de détention étaient difficiles car il n’avait pas la possibilité d’appeler sa famille en Afrique – alors même qu’il n’a formé aucune demande d’autorisation en ce sens –, qu’il regrettait en particulier de n’avoir pas pu avoir de contacts au moment de la naissance de son enfant, qu’il était l’aîné de sa famille et que quand il était en Italie il subvenait aux besoins de celle-ci. A cause de</w:t>
      </w:r>
    </w:p>
    <w:p>
      <w:r>
        <w:t>- 9 - sa détention, le loyer ne serait plus payé et ses neveux seraient tombés dans la précarité. b) Le casier judiciaire suisse de A.________ comporte les inscriptions suivantes : - 9 octobre 2019, Staatsanwaltschaft Abteilung 1 Luzern, peine pécuniaire de 15 jours-amende à 30 fr. avec sursis pendant 2 ans (délai d’épreuve prolongé d’un an) et amende de 400 fr. pour délit et contravention contre la Loi fédérale sur les stupéfiants ; - 20 mai 2021, Ministère public du canton du Valais, Office régional du Bas-Valais, peine pécuniaire de 10 jours-amende à 30 fr. pour entrée illégale au sens de la Loi fédérale sur les étrangers et l’intégration ; - 12 novembre 2021, Staatsanwaltschaft Abteilung 1 Luzern, peine pécuniaire de de 70 jours-amende à 30 fr. et amende de 900 fr. pour recel (infraction d’importance mineure), vol simple (infraction d’importance mineure), contravention à la Loi fédérale sur les stupéfiants, entrée et séjour illégal au sens de la Loi fédérale sur les étrangers et l’intégration et défaut d’avis en cas de trouvaille ; - 2 février 2022, Kriminalgericht des Kantons Luzern, peine privative de liberté de 24 mois et expulsion du territoire suisse pour une durée de</w:t>
      </w:r>
    </w:p>
    <w:p>
      <w:r>
        <w:rPr>
          <w:b/>
        </w:rPr>
        <w:t>E. 4.1</w:t>
      </w:r>
    </w:p>
    <w:p>
      <w:r>
        <w:t>Aux termes de l’art. 19 al. 1 LStup (Loi fédérale sur les stupéfiants et les substances psychotropes du 3 octobre 1951 ; RS 812.121),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w:t>
      </w:r>
    </w:p>
    <w:p>
      <w:r>
        <w:t>- 16 - membre d’une bande formée pour se livrer de manière systématique au trafic illicite de stupéfiant (let. b).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 Favre/Pellet/Stoudmann, Droit pénal accessoire, Code annoté, Lausanne 2018, n. 1.1 ad art. 19 LStup). Le cas doit être considéré comme grave au sens de l'art. 19 al. 2 let. a LStup lorsque le trafic de cocaïne porte sur une quantité supérieure à 18 grammes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Favre/Pellet/Stoudmann, op. cit., n. 2.1 ad art. 19 LStup). Les stupéfiants qui ont fait l’objet de plusieurs transactions doivent être pris en compte globalement pour décider de l’existence d’un cas grave, même si entre les</w:t>
      </w:r>
    </w:p>
    <w:p>
      <w:r>
        <w:t>- 17 - diverses opérations, il n’existe qu’une relation de répétition et non de continuité (ATF 112 IV 109 consid. 2a;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w:t>
      </w:r>
    </w:p>
    <w:p>
      <w:r>
        <w:rPr>
          <w:b/>
        </w:rPr>
        <w:t>E. 4.2</w:t>
      </w:r>
    </w:p>
    <w:p>
      <w:r>
        <w:t>En l’espèce, l’appelant ne conteste pas que, lors de son entrée sur le territoire suisse le 26 juillet 2022, il a été interpellé par des agents de la douane en possession de 466 grammes de cocaïne conditionnés en 28 fingers, qui ont été trouvés dans son sac. C’est sans convaincre qu’il prétend ignorer comment cette drogue s’est retrouvée dans ses effets personnels. Il n’a en effet pu fournir aucune explication crédible à ce sujet. Lors de sa première audition et par la suite encore il a expliqué qu’un inconnu rencontré à la gare de Lausanne avait placé la drogue dans son sac à son insu pour la transporter à Vevey, alors qu’il se trouvait aux toilettes (cf. PV aud. 1, pp. 6-7 ; cf. ég. PV aud. 2 p. 3 et PV aud. 4, l. 57). Or l’analyse des images de vidéosurveillance de la gare de Lausanne a permis d’établir qu’il était arrivé à la gare à 21h08, qu’il s’était dirigé directement au distributeur de billets pour prendre un ticket, qu’il était ensuite retourné dans le hall central pour acheter des victuailles à la boulangerie, qu’à 21h11 il était entré dans le train, qu’il avait traversé un wagon et qu’il s’était assis. Il résulte également de ces images que tout au long de son déplacement dans la gare et dans le train, l’appelant était seul, qu’il n’est pas allé aux toilettes et qu’il n’a eu de contact avec personne comme il le prétend. Lors de son audition du 10 octobre 2022, l’appelant a confirmé qu’il s’agissait bien de lui sur les images précitées qui lui ont été présentées et, pour toute explication, il a déclaré être surpris d’être seul à apparaître sur lesdites images (PV aud. 3, R. 7). Pour</w:t>
      </w:r>
    </w:p>
    <w:p>
      <w:r>
        <w:t>- 18 - le surplus, l’appelant n’a pas été en mesure de donner d’autres explications sur le sujet et a persisté à nier l’évidence. Il y a encore lieu de relever que les antécédents de A.________ en matière de trafic de stupéfiants démontrent sans le moindre doute qu’il est actif dans le trafic de cocaïne depuis des années et qu’il a donc récidivé gravement le 26 juillet 2022. Du reste, à l’audience d’appel, confronté à ses antécédents, l’intéressé s’est contenté de déclarer que dans les autres cas il y avait des preuves et que dans le cas présent tel n’était pas le cas, ce qui est révélateur. En outre, lors de l’intervention des douanes, A.________ a refusé de se légitimer, de se soumettre au contrôle et a dû être menotté (cf. P. 6), ce qui démontre qu’il savait parfaitement qu’il avait quelque chose à se reprocher. Enfin, quoi qu’il en dise, l’appelant était en possession de plusieurs cartes SIM, ce qui est courant chez les trafiquants de drogue et constitue un indice supplémentaire, quand bien même l’extraction de son téléphone portable n’a rien donné. Le fait que son ADN ou ses empreintes n’aient pas été retrouvés sur les sachets n’est ainsi pas décisif, les indices précités étant suffisants et les explications invraisemblables fournies par le prévenu contredites par les images de vidéosurveillance. Il s’ensuit que la condamnation de A.________ pour infraction grave au sens des art. 19 al. 1 let. b, c, d, g et 19 al. 2 let. a LStup doit être confirmée. A cet égard, on relèvera encore qu’on ne discerne pas de violation du droit d’être entendu de l’appelant, à qui il est reproché d’avoir transporté de la drogue destinée à la vente sans être lui-même consommateur, ce qui implique le transport visé à l’art. 19 al. 1 let. b LStup, la mise dans le commerce ou à tout le moins la remise à un tiers (let. c), la détention (let. d) et les mesures entreprises, de façon générale, aux fins de commettre ces infractions (let. g). Or, ces dispositions légales étaient mentionnées dans l’acte d’accusation et on ne voit pas comment l’appelant peut prétendre ignorer pourquoi ces infractions sont retenues contre lui dans la mesure où l’état de fait contenu dans l’acte d’accusation l’a été. Par conséquent, le jugement entrepris n’avait pas besoin de s’en expliquer davantage puisqu’en retenant l’état de fait contenu dans l’acte d’accusation, il retient les infractions que cet état de fait implique sans la moindre ambiguïté. Au</w:t>
      </w:r>
    </w:p>
    <w:p>
      <w:r>
        <w:t>- 19 - demeurant, on ne voit pas ce que l’appelant entend tirer de ce grief, dès lors que les infractions réprimées à l’art. 19 al. 1 LStup s’appréhendent en dehors des règles sur le concours comme une seule infraction, et qu’il est constant qu’il détenait et transportait une quantité importante de cocaïne, ce qui est suffisant pour retenir l’infraction grave prévue à l’art. 19 al. 2 let. a LStup. 5. A titre subsidiaire, l’appelant soutient que sa peine serait exagérément sévère compte tenu de la gravité des faits et de sa situation personnelle (et familiale notamment) et que le jugement de première instance souffrirait d’un défaut de motivation à cet égard. Il invoque également une violation de l’art. 49 CP.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t>- 20 - 6.1.1 et les références citées ; TF 6B_183/2021 du 27 octobre 2021 consid. 1.3). 5.1.2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w:t>
      </w:r>
    </w:p>
    <w:p>
      <w:r>
        <w:t>- 21 - 121 IV 202 consid. 2d/aa ; ATF 118 IV 342 consid. 2d ; TF 6B_965/2018 du 15 novembre 2018 consid. 3.3). 5.1.3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w:t>
      </w:r>
    </w:p>
    <w:p>
      <w:r>
        <w:t>- 22 - toutes les circonstances y relatives (ATF 144 IV 313 précité consid. 1.1.2 ; TF 6B_776/2019 précité). 5.1.4 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w:t>
      </w:r>
    </w:p>
    <w:p>
      <w:r>
        <w:t>- 23 -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 5.2 En l’espèce, la motivation des premiers juges au sujet de la peine est certes succincte. Il y a toutefois peu à dire de plus et, quoi qu’il en soit, cette motivation est suffisante pour que l’appelant ait été en mesure de la contester utilement devant la Cour de céans, ce qu’il a fait. De toute manière, si vice il y avait sur ce point, il serait réparé devant la Cour d’appel pénale, qui dispose d’un plein pouvoir d’examen et à qui il incombe d’examiner la peine d’office. La culpabilité de A.________ est très lourde. Avec les premiers juges, il faut relever qu’il y a récidive dans le délai d’épreuve d’un précédent sursis. Récidive spéciale d’ailleurs. Il faut aussi relever le défaut de collaboration et l’absence de la moindre prise de conscience de l’intéressé, qui a persisté à nier l’évidence de façon constante et insoutenable jusqu’en appel. Tout cela justifie – avec la gravité des faits – déjà le prononcé d’une peine privative de liberté pour les deux infractions en cause mais il y a plus. S’agissant de l’infraction à la LStup, l’appelant a agi par pur appât du gain, puisqu’il soutient qu’il a gagné sa vie honnêtement en Italie. La quantité de cocaïne pure transportée – à l’évidence dans un but de revente puisqu’il n’est pas consommateur – réalise plus de 17 fois le cas grave. C’est donc la seconde fois qu’il agit de façon similaire, peu de temps après la condamnation par les autorités lucernoises. S’il n’est pas possible d’établir la réelle implication de A.________ (type et nature du trafic) faute de toute collaboration de sa part, il semble évident qu’il n’a pas agi de manière autonome dans le cadre</w:t>
      </w:r>
    </w:p>
    <w:p>
      <w:r>
        <w:t>- 24 - d’un trafic local mais bien plutôt comme membre d'une organisation transfrontalière. Quant à l’infraction à la loi sur les étrangers, c’est la 4ème fois que l’intéressé se trouve sur le sol helvétique sans droit, de surcroît pour y commettre des infractions. C’est dire que l’intéressé n’a aucun scrupule à violer l’ordre juridique suisse. Enfin, c’est en vain que l’appelant se prévaut de sa situation personnelle, en particulier du fait qu’il n’a pas encore pu voir sa fille et qu’il serait injuste de la priver de son père durant les premières années de sa vie, puisqu’à la question de savoir s’il était disposé à retourner au Nigeria, il a répondu non, qu’il voulait retourner en Italie pour travailler (jugt. p. 4). Quant à l’entretien financier de sa famille, il semble davantage être assuré par la commission d’infractions que par l’exercice d’un travail honnête – dont l’appelant ne fait qu’alléguer l’existence sans convaincre (cf. infra consid. 7) –, A.________ étant désormais condamné pour la seconde fois pour infraction grave à la LStup. Compte tenu de ce qui vient d’être exposé, il est incontestable que le sursis accordé à la peine privative de liberté de 24 mois le 2 février 2022 doit être révoqué. Malgré cette révocation, le pronostic demeure extrêmement défavorable au vu des antécédents, de l’absence d’effet des sanctions précédentes et de l’absence de toute prise de conscience. L’infraction la plus grave commise en l’espèce, l’infraction grave à la LStup, sera ainsi sanctionnée d’une peine privative de liberté de 2 ans, et la rupture de ban d’une peine privative de liberté de 3 mois, la révocation du sursis précédent impliquant toutefois le prononcé d’une peine d’ensemble. La peine privative de liberté de 4 ans infligée par les premiers juges est ainsi adéquate et doit être confirmée. Elle exclut le prononcé de tout sursis – le pronostic étant de toute manière résolument défavorable malgré la révocation du sursis précédent – et implique le rejet des conclusions de l’appelant en indemnisation d’un quelconque tort moral pour détention injustifiée. Quant à la révocation du sursis accordé à la peine pécuniaire prononcée le 9 octobre 2019 par le Tribunal de Lucerne, elle se justifie pour les mêmes motifs (récidive spéciale).</w:t>
      </w:r>
    </w:p>
    <w:p>
      <w:r>
        <w:t>- 25 - 6. A titre subsidiaire également, l’appelant conteste la durée de son expulsion du territoire suisse. Selon lui, il y aurait à tout le moins lieu d’appliquer l’art. 66b al. 1 CP. 6.1 Selon l’art. 66b al. 1 CP, lorsqu’une personne contre qui une expulsion a été ordonnée commet une nouvelle infraction remplissant les conditions d’une expulsion au sens de l’art. 66a, une nouvelle expulsion est prononcée pour une durée de vingt ans. L’expulsion peut être prononcée à vie si le nouvel acte a été commis alors que la première expulsion avait encore effet (al. 2). 6.2 En l’espèce, le prévenu, qui n'a strictement aucune attache familiale ou lien professionnel en Suisse, où il ne vient que pour commettre des infractions, a déjà enfreint une mesure d’expulsion du territoire suisse, étant rappelé qu’il a dit lui-même à plusieurs reprises qu’il était conscient qu’il n’avait plus le droit de revenir en Suisse. Il n’invoque en outre aucun motif légitime pour revenir sur le territoire helvétique dans 21 ans, ayant d’ailleurs déclaré en cours d’instruction qu’il ne reviendrait jamais en Suisse (PV aud. 4, l. 82). Au vu de ces éléments, l’expulsion à vie ordonnée par le tribunal de première instance ne prête pas le flanc à la critique et doit être confirmée.</w:t>
      </w:r>
    </w:p>
    <w:p>
      <w:r>
        <w:rPr>
          <w:b/>
        </w:rPr>
        <w:t>E. 7</w:t>
      </w:r>
    </w:p>
    <w:p>
      <w:r>
        <w:t>L’appelant a encore requis que les sommes séquestrées lui soient restituées, sans toutefois expliquer pour quel motif tel devrait être le cas, si ce n’est qu’il a conclu à son acquittement, qu’il n’obtient pas. Or, leur confiscation se justifie en application de l’art. 442 al. 4 CPP.</w:t>
      </w:r>
    </w:p>
    <w:p>
      <w:r>
        <w:rPr>
          <w:b/>
        </w:rPr>
        <w:t>E. 8</w:t>
      </w:r>
    </w:p>
    <w:p>
      <w:r>
        <w:t>La condamnation de l’intéressé pour tous les chefs d’accusation implique enfin que l’entier des frais de la cause, y compris</w:t>
      </w:r>
    </w:p>
    <w:p>
      <w:r>
        <w:t>- 26 - l’indemnité allouée à son défenseur d’office, a été mis à juste titre à sa charge (art. 426 al. 1 CPP).</w:t>
      </w:r>
    </w:p>
    <w:p>
      <w:r>
        <w:rPr>
          <w:b/>
        </w:rPr>
        <w:t>E. 10</w:t>
      </w:r>
    </w:p>
    <w:p>
      <w:r>
        <w:t>Conformément à l’art. 51 CP, la détention subie depuis le jugement de première instance sera être déduite de la peine, et le maintien en détention en exécution de peine de A.________ ordonné pour garantir l’exécution de la peine et de la nouvelle mesure d’expulsion, ne serait-ce que compte tenu du risque de fuite qu’il présente en n’ayant aucun statut ni aucune attache en Suisse.</w:t>
      </w:r>
    </w:p>
    <w:p>
      <w:r>
        <w:rPr>
          <w:b/>
        </w:rPr>
        <w:t>E. 11</w:t>
      </w:r>
    </w:p>
    <w:p>
      <w:r>
        <w:t>Au vu de ce qui précède, l’appel de A.________ doit être rejeté et le jugement entrepris confirmé. Le défenseur d’office de A.________ a produit une liste d’opérations dont il n’y a pas lieu de s’écarter, si ce n’est pour adapter à la baisse le temps surestimé consacré à l’audience d’appel. Au tarif horaire de 180 fr., l’indemnité de défenseur d'office qui doit être allouée à Me Joana Azevedo pour la procédure d’appel s’élève ainsi à 2'626 fr. 15, TVA et débours inclus, correspondant à 10,66 heures d’honoraires, auxquels s’ajoutent des débours forfaitaire au taux de 2%, par 38 fr. 40, quatre vacations forfaitaires à 120 fr. et la TVA sur le tout, par 187 fr. 75. Vu l’issue de la cause, les frais de la procédure d’appel, par 5'116 fr. 15, constitués en l’espèce de l’émolument d’audience et de jugement, par 2'490 fr. (art. 21 al. 1 TFIP [tarif des frais de procédure et indemnités en matière pénale du 28 septembre 2010 ; BLV 312.03.1]), ainsi que de l’indemnité allouée à son défenseur d’office, seront mis à la charge de l'appelant, qui succombe (art. 428 al. 1 CPP). A.________ ne sera tenu de rembourser à l’Etat le montant de l’indemnité allouée à son défenseur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