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PE22.013535 vom 28. November 2022</w:t>
      </w:r>
    </w:p>
    <w:p>
      <w:r>
        <w:t>VD Tribunal cantonal, 2022-11-28, FR</w:t>
      </w:r>
    </w:p>
    <w:p>
      <w:r>
        <w:rPr>
          <w:b/>
        </w:rPr>
        <w:t xml:space="preserve">Quelle: </w:t>
      </w:r>
      <w:r>
        <w:t>https://mcp.opencaselaw.ch/entscheid/vd_gerichte_PE22.013535</w:t>
      </w:r>
    </w:p>
    <w:p>
      <w:r>
        <w:t>FR: VD_GERICHTE PE22.013535 du 28 novembre 2022</w:t>
      </w:r>
    </w:p>
    <w:p>
      <w:r>
        <w:t>IT: VD_GERICHTE PE22.013535 del 28 novembre 2022</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2e éd., Bâle 2019, n. 5 ad art. 356 CPP ; Riklin, in : Niggli/Heer/Wiprächtiger [édit.], Basler Kommentar, Schweizerische Strafprozessordnung, Jugendstrafprozessordnung, Art. 196-457 StPO – Art. 1-54 JStPO, 2e éd., Bâle 2014, n. 2 ad art. 356 CPP ; CREP du 31 août 2022/351 consid. 1.1 ; CREP 15 juillet 2021/652 consid. 1.1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Interjeté en temps utile, devant l’autorité compétente, par une partie qui a qualité pour recourir (art. 382 al. 1 CPP) et dans les formes prescrites (art. 385 al. 1 CPP), le recours est recevable en la forme.</w:t>
      </w:r>
    </w:p>
    <w:p>
      <w:r>
        <w:rPr>
          <w:b/>
        </w:rPr>
        <w:t>E. 2.1</w:t>
      </w:r>
    </w:p>
    <w:p>
      <w:r>
        <w:t>L’ordonnance pénale est notifiée par écrit aux personnes et aux autorités qui ont qualité pour former opposition (art. 353 al. 3 CPP). Le</w:t>
      </w:r>
    </w:p>
    <w:p>
      <w:r>
        <w:t>- 4 -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w:t>
      </w:r>
    </w:p>
    <w:p>
      <w:r>
        <w:rPr>
          <w:b/>
        </w:rPr>
        <w:t>E. 2.2</w:t>
      </w:r>
    </w:p>
    <w:p>
      <w:r>
        <w:t>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w:t>
      </w:r>
    </w:p>
    <w:p>
      <w:r>
        <w:rPr>
          <w:b/>
        </w:rPr>
        <w:t>E. 4</w:t>
      </w:r>
    </w:p>
    <w:p>
      <w:r>
        <w:t>Il résulte de ce qui précède que le Tribunal de police était fondé à considérer l’opposition comme tardive.</w:t>
      </w:r>
    </w:p>
    <w:p>
      <w:r>
        <w:rPr>
          <w:b/>
        </w:rPr>
        <w:t>E. 5</w:t>
      </w:r>
    </w:p>
    <w:p>
      <w:r>
        <w:t>Au vu de ce qui précède, le recours, manifestement mal fondé, doit être rejeté sans échange d'écritures (art. 390 al. 2 CPP).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9 septembre 2022 est confirmé. III. Les frais d’arrêt, par 770 fr. (sept cent septante francs), sont mis à la charge de X.________. IV. L’arrêt est exécutoire. La présidente : Le greffier :</w:t>
      </w:r>
    </w:p>
    <w:p>
      <w:r>
        <w:t>- 8 - Du Le présent arrêt, dont la rédaction a été approuvée à huis clos, est notifié, par l'envoi d'une copie complète, à : - Me Michel Dupuis, avocat (pour X.________), - Ministère public central, et communiqué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