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PE22.013371 vom 21. Juni 2023</w:t>
      </w:r>
    </w:p>
    <w:p>
      <w:r>
        <w:t>VD Tribunal cantonal, 2023-06-21, FR</w:t>
      </w:r>
    </w:p>
    <w:p>
      <w:r>
        <w:rPr>
          <w:b/>
        </w:rPr>
        <w:t xml:space="preserve">Quelle: </w:t>
      </w:r>
      <w:r>
        <w:t>https://mcp.opencaselaw.ch/entscheid/vd_gerichte_PE22.013371</w:t>
      </w:r>
    </w:p>
    <w:p>
      <w:r>
        <w:t>FR: VD_GERICHTE PE22.013371 du 21 juin 2023</w:t>
      </w:r>
    </w:p>
    <w:p>
      <w:r>
        <w:t>IT: VD_GERICHTE PE22.013371 del 21 giugno 2023</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n. 4 ad art. 382 CPP ; Lieber, in : Donatsch/Lieber/Summers/Wohlers [éd.], Kommentar zur Schweizerischen Strafprozessordnung, 3e éd., Zurich/Bâle/Genève 2020,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Jeanneret/Kuhn/Perrier Depeursinge [éd.], op. cit., n. 4 ad art. 382 CPP ; Lieber in : Donatsch/Lieber/Summers/Wohlers [éd.], op. cit., n. 9 ad art.</w:t>
      </w:r>
    </w:p>
    <w:p>
      <w:r>
        <w:t>- 6 - 382 StPO). Elle n'est donc pas susceptible d'être entreprise par un recours (TF 1B_188/2018 du</w:t>
      </w:r>
    </w:p>
    <w:p>
      <w:r>
        <w:rPr>
          <w:b/>
        </w:rPr>
        <w:t>E. 1.3</w:t>
      </w:r>
    </w:p>
    <w:p>
      <w:r>
        <w:t>La garantie de la présomption d’innocence est ancrée à l’art. 32 al. 1 Cst. (Constitution fédérale de la Confédération suisse du 18 avril 1999 ; RS 101), qui dispose que toute personne est présumée innocente jusqu’à ce qu’elle fasse l’objet d’une condamnation entrée en force, ainsi qu’à l’art. 6 § 2 CEDH (Convention de sauvegarde des droits de l’homme et des libertés fondamentales du 4 novembre 1950 ; RS 0.101), qui prévoit que toute personne accusée d’une infraction est présumée innocente jusqu’à ce que sa culpabilité ait été légalement établie. La présomption d’innocence figure parmi les éléments du procès pénal équitable exigé par l’art. 6 § 1 CEDH. Elle est rappelée à l’art. 10 al. 1 CPP qui indique que toute personne est présumée innocente tant qu’elle n’est pas condamnée par un jugement entré en force. La Cour européenne des droits de l’homme a considéré que le principe de la présomption d’innocence pouvait être violé par les motifs d’une décision prononçant le classement de la procédure, notamment lorsque les termes employés ne laissaient aucun doute quant à la</w:t>
      </w:r>
    </w:p>
    <w:p>
      <w:r>
        <w:t>- 7 - culpabilité du prévenu (CourEDH 60101/09 du 28 octobre 2014, Peltereau- Villeneuve Benoît c. Suisse). Elle a précisé qu’il suffisait, pour que la présomption d’innocence se trouve méconnue, qu’une motivation donne à penser que le magistrat considère l’intéressé comme coupable, cela même en l’absence de constat formel (cf. aussi CourEDH 42095/98 du 10 octobre 2000, Daktaras c. Lituanie). Elle a également rappelé qu’une distinction devait être faite entre les décisions qui reflétaient le sentiment que la personne concernée était coupable et celles qui se bornaient à décrire un état de suspicion, les premières violant le principe de la présomption d’innocence, alors que les deuxièmes avaient été à plusieurs reprises considérées comme conformes à l’esprit de l’art. 6 CEDH (cf. CourEDH 45313/99 du 28 novembre 2002, Marziano c. Italie). Il existe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(cf. CourEDH 23037/04 du 19 septembre 2006, Matijasevic c. Serbie). 2. 2.1 Le recourant considère qu’en mentionnant, dans l’ordonnance entreprise, que « dans la mesure où il est établi qu’une altercation a eu lieu entre H.________ et U.________ et que ce dernier a reconnu une partie des faits, les éléments constitutifs de l’infraction de la dénonciation calomnieuse ne sont pas remplis », le Ministère public suggère qu’il serait coupable d’avoir proféré des menaces à l’encontre de son antagoniste. S’appuyant sur un article de Gauderon/Lubishtani, L’ordonnance de classement des art. 52 ss CP et la qualité pour recourir : un acquittement culpabilisant, in RPS 138/2020, pp. 163 à 186, il soutient qu’il aurait un intérêt légitime à la modification de cette ordonnance. En l’occurrence, la doctrine citée par le recourant se concentre sur l’application des art. 52 ss CP (Code pénal suisse du 21 décembre 1937 ; RS 311.0) et concerne donc uniquement le classement en opportunité rendu sur la base des art. 8 al. 1 et 319 al. 1 let. e CPP. La</w:t>
      </w:r>
    </w:p>
    <w:p>
      <w:r>
        <w:t>- 8 - Chambre de céans ne distingue dès lors pas en quoi celle-ci pourrait être pertinente, puisque le classement a été prononcé par le Ministère public, en application de l’art. 319 al. 1 let. b CPP et non de l’art. 319 al. 1 let. e CPP. Il n’y pas ici de classement en opportunité, mais parce que les éléments constitutifs de l’infraction de dénonciation calomnieuse ne sont pas réalisés. Il n’existe dès lors aucun motif de s’écarter de la jurisprudence détaillée ci-dessus (cf. supra consid. 1.2 et 1.3). 2.2 En l’espèce, les termes que le recourant reproche à l’ordonnance de classement sont, d’un part, qu’il aurait reconnu une partie des faits et, d’autre part, que les éléments constitutifs de la dénonciation calomnieuse ne seraient pas réunis, ce qui laisserait penser qu’il serait coupable des faits dénoncés par H.________. Sur ce point précis, il faut constater qu’entendu le 29 avril 2022 par la police, le recourant a déclaré ce qui suit : « (…) Nous avons eu une altercation et c’est lui qui a commencé. J’ai juste rendu. Il m’a dit « je te nique ta famille ». Je lui ai répondu des choses comme ça mais je ne sais plus quoi exactement (…) » (PV audition 3, R. 6). Sur la base de ces propos, la procureure pouvait donc, dans le cadre de l’examen de l’infraction de dénonciation calomnieuse pour laquelle le recourant avait déposé plainte, retenir une reconnaissance partielle des faits que le prévenu lui reprochait, sans qu’il s’agisse de faire peser sur lui le sentiment qu’il était coupable d’une quelconque infraction. Elle le pouvait d’autant plus que le classement prononcé en sa faveur reposait sur le fait que H.________ avait retiré sa plainte. En conséquence, le recourant n’est pas légitimé à contester l’ordonnance de classement prononcée en sa faveur dans le seul but d’obtenir une motivation juridique différente. Il n’est pas non plus légitimé à contester le bien-fondé de la motivation ayant conduit au classement prononcé en faveur de H.________ dès lors qu’il a retiré sa plainte (art. 382 al. 1 CPP ; Lieber in : Donatsch/Lieber/Summers/Wohlers [éd.], op. cit., n. 15 ad art. 382 StPo ; CREP 14 février 2023/129 consid. 2.1).</w:t>
      </w:r>
    </w:p>
    <w:p>
      <w:r>
        <w:t>- 9 -</w:t>
      </w:r>
    </w:p>
    <w:p>
      <w:r>
        <w:rPr>
          <w:b/>
        </w:rPr>
        <w:t>E. 3</w:t>
      </w:r>
    </w:p>
    <w:p>
      <w:r>
        <w:t>Il résulte de ce qui précède que le recours doit être déclaré irrecevable, sans échange d’écritures (art. 390 al. 2 CPP). Les frais de la procédure de recours, par 880 fr. (art. 21 al. 1 TFIP [tarif des frais de procédure et indemnités en matière pénale du 28 septembre 2010 ; BLV 312.03.1]), seront mis à la charge d’U.________, qui succombe (art. 428 al. 1 CPP). Par ces motifs, la Chambre des recours pénale prononce : I. Le recours est irrecevable. II. Les frais d’arrêt, par 880 fr. (huit cent huitante francs), sont mis à la charge d’U.________. III. L’arrêt est exécutoire. La présidente : Le greffier : Du Le présent arrêt, dont la rédaction a été approuvée à huis clos, est notifié, par l'envoi d'une copie complète, à : - Me Laurent Chassot, avocat (pour U.________), - M. H.________, - Ministère public central, et communiqué à :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